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495" w:type="dxa"/>
        <w:tblInd w:w="-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3"/>
        <w:gridCol w:w="7512"/>
      </w:tblGrid>
      <w:tr w:rsidR="00ED0676" w:rsidRPr="00C82683">
        <w:trPr>
          <w:trHeight w:val="340"/>
        </w:trPr>
        <w:tc>
          <w:tcPr>
            <w:tcW w:w="9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0676" w:rsidRPr="00C82683" w:rsidRDefault="00840581" w:rsidP="00C82683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運用指引</w:t>
            </w:r>
          </w:p>
        </w:tc>
      </w:tr>
      <w:tr w:rsidR="00ED0676" w:rsidRPr="00C82683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676" w:rsidRPr="00C82683" w:rsidRDefault="00840581" w:rsidP="00C82683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素材名稱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676" w:rsidRPr="00C82683" w:rsidRDefault="00840581" w:rsidP="00C82683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國家人權博物館（景美園區）</w:t>
            </w:r>
          </w:p>
        </w:tc>
      </w:tr>
      <w:tr w:rsidR="00ED0676" w:rsidRPr="00C82683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676" w:rsidRPr="00C82683" w:rsidRDefault="00840581" w:rsidP="00C82683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教育議題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676" w:rsidRPr="00C82683" w:rsidRDefault="00840581" w:rsidP="00C82683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面對過去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: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認識威權體制／展望未來：轉型正義專題</w:t>
            </w:r>
          </w:p>
        </w:tc>
      </w:tr>
      <w:tr w:rsidR="00ED0676" w:rsidRPr="00C82683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676" w:rsidRPr="00C82683" w:rsidRDefault="00840581" w:rsidP="00C82683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教育訓練主題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676" w:rsidRPr="00C82683" w:rsidRDefault="00840581" w:rsidP="00C82683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1-2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壓迫體制與案件當事人沿革專題／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3-5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不義遺址與集體記憶</w:t>
            </w:r>
          </w:p>
        </w:tc>
      </w:tr>
      <w:tr w:rsidR="00ED0676" w:rsidRPr="00C82683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676" w:rsidRPr="00C82683" w:rsidRDefault="00840581" w:rsidP="00C82683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建議實施對象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676" w:rsidRPr="00C82683" w:rsidRDefault="00840581" w:rsidP="00C82683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所有對象</w:t>
            </w:r>
          </w:p>
        </w:tc>
      </w:tr>
      <w:tr w:rsidR="00ED0676" w:rsidRPr="00C82683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676" w:rsidRPr="00C82683" w:rsidRDefault="00840581" w:rsidP="00C82683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建議研討方式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676" w:rsidRPr="00C82683" w:rsidRDefault="00840581" w:rsidP="00C82683">
            <w:pPr>
              <w:widowControl w:val="0"/>
              <w:numPr>
                <w:ilvl w:val="0"/>
                <w:numId w:val="3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參訪</w:t>
            </w:r>
          </w:p>
          <w:p w:rsidR="00ED0676" w:rsidRPr="00C82683" w:rsidRDefault="00840581" w:rsidP="00C82683">
            <w:pPr>
              <w:widowControl w:val="0"/>
              <w:numPr>
                <w:ilvl w:val="0"/>
                <w:numId w:val="3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主題式／研討工作坊</w:t>
            </w:r>
          </w:p>
          <w:p w:rsidR="00ED0676" w:rsidRPr="00C82683" w:rsidRDefault="00840581" w:rsidP="00C82683">
            <w:pPr>
              <w:widowControl w:val="0"/>
              <w:numPr>
                <w:ilvl w:val="0"/>
                <w:numId w:val="3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主題講座／講課</w:t>
            </w:r>
          </w:p>
        </w:tc>
      </w:tr>
      <w:tr w:rsidR="00ED0676" w:rsidRPr="00C82683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676" w:rsidRPr="00C82683" w:rsidRDefault="00840581" w:rsidP="00C82683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運用素材類型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676" w:rsidRPr="00C82683" w:rsidRDefault="00840581" w:rsidP="00C82683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遺址／場館</w:t>
            </w:r>
          </w:p>
        </w:tc>
      </w:tr>
      <w:tr w:rsidR="00ED0676" w:rsidRPr="00C82683">
        <w:trPr>
          <w:trHeight w:val="1644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676" w:rsidRPr="00C82683" w:rsidRDefault="00840581" w:rsidP="00C82683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素材簡介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676" w:rsidRPr="00C82683" w:rsidRDefault="00840581" w:rsidP="00C82683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國家人權博物館（景美園區）於戒嚴時期為軍事、政治、治安案件之審訊、羈押的場所，是多機關的共用空間，亦橫跨不同時期的</w:t>
            </w:r>
            <w:proofErr w:type="gramStart"/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不同軍審單位</w:t>
            </w:r>
            <w:proofErr w:type="gramEnd"/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：</w:t>
            </w:r>
          </w:p>
          <w:p w:rsidR="00ED0676" w:rsidRPr="00C82683" w:rsidRDefault="00840581" w:rsidP="00C82683">
            <w:pPr>
              <w:widowControl w:val="0"/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1967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至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1992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年：臺灣警備總司令部軍法處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 xml:space="preserve"> </w:t>
            </w:r>
          </w:p>
          <w:p w:rsidR="00ED0676" w:rsidRPr="00C82683" w:rsidRDefault="00840581" w:rsidP="00C82683">
            <w:pPr>
              <w:widowControl w:val="0"/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1967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至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1971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年：國防部軍法覆判局</w:t>
            </w:r>
          </w:p>
          <w:p w:rsidR="00ED0676" w:rsidRPr="00C82683" w:rsidRDefault="00840581" w:rsidP="00C82683">
            <w:pPr>
              <w:widowControl w:val="0"/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1967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至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1980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年：國防部軍法局</w:t>
            </w:r>
          </w:p>
          <w:p w:rsidR="00ED0676" w:rsidRPr="00C82683" w:rsidRDefault="00840581" w:rsidP="00C82683">
            <w:pPr>
              <w:widowControl w:val="0"/>
              <w:numPr>
                <w:ilvl w:val="0"/>
                <w:numId w:val="1"/>
              </w:numPr>
              <w:spacing w:after="120" w:line="440" w:lineRule="exact"/>
              <w:ind w:left="714" w:hanging="35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1980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至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1999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年：國防部軍法局（軍事法庭、看守所）</w:t>
            </w:r>
          </w:p>
          <w:p w:rsidR="00ED0676" w:rsidRPr="00C82683" w:rsidRDefault="00840581" w:rsidP="00C82683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白色恐怖</w:t>
            </w:r>
            <w:proofErr w:type="gramStart"/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期間，</w:t>
            </w:r>
            <w:proofErr w:type="gramEnd"/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各軍事法庭依據《戒嚴法》，將非現役軍人交付軍事審判，造成司法不法之刑事有罪判決。看守所在調查階段，也曾以刑求等不正當手段取得當事人自白。</w:t>
            </w:r>
          </w:p>
        </w:tc>
      </w:tr>
      <w:tr w:rsidR="00ED0676" w:rsidRPr="00C82683">
        <w:trPr>
          <w:trHeight w:val="1545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676" w:rsidRPr="00C82683" w:rsidRDefault="00840581" w:rsidP="00C82683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探討議題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676" w:rsidRPr="00C82683" w:rsidRDefault="00840581" w:rsidP="00C82683">
            <w:pPr>
              <w:widowControl w:val="0"/>
              <w:spacing w:after="120"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參照行政院公報不義遺址審定公告總說明，不義遺址定義為「威權統治時期，大規模侵害人權事件之發生地」。</w:t>
            </w:r>
            <w:proofErr w:type="gramStart"/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爰</w:t>
            </w:r>
            <w:proofErr w:type="gramEnd"/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此，辨識不義遺址，須具備三項必要條件：一、時序為威權統治時期（民國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 xml:space="preserve"> 34 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年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 xml:space="preserve"> 8 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月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 xml:space="preserve"> 15 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日起至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 xml:space="preserve"> 81 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年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 xml:space="preserve"> 11 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月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 xml:space="preserve"> 6 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日止）；二、</w:t>
            </w:r>
            <w:proofErr w:type="gramStart"/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覈</w:t>
            </w:r>
            <w:proofErr w:type="gramEnd"/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實統治者大規模侵害人權事件之真實性；三是確認發生地之空間資訊。因威權統治時期國家不法侵害人權事件的樣態與規模，廣泛而多元，</w:t>
            </w:r>
            <w:proofErr w:type="gramStart"/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故促轉</w:t>
            </w:r>
            <w:proofErr w:type="gramEnd"/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條例第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 xml:space="preserve"> 5 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條加入「大規模」一詞，除可</w:t>
            </w:r>
            <w:proofErr w:type="gramStart"/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凸</w:t>
            </w:r>
            <w:proofErr w:type="gramEnd"/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顯由國家認定之不義遺址的代表性，也提示了侵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lastRenderedPageBreak/>
              <w:t>害人權事件本身嫁接在機關權力運作系統、發生地的地理特質及社會意義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之中的影響力。</w:t>
            </w:r>
          </w:p>
          <w:p w:rsidR="00ED0676" w:rsidRPr="00C82683" w:rsidRDefault="00840581" w:rsidP="00C82683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而不義遺址的保存的重要性，為將個體的受難經驗轉化為共同體的價值論述，亦為識別性、詮釋性、紀念性概念的實踐過程，使相關場所成為承載集體記憶的空間，以落實轉型正義。</w:t>
            </w:r>
          </w:p>
        </w:tc>
      </w:tr>
      <w:tr w:rsidR="00ED0676" w:rsidRPr="00C82683">
        <w:trPr>
          <w:trHeight w:val="1545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676" w:rsidRPr="00C82683" w:rsidRDefault="00840581" w:rsidP="00C82683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lastRenderedPageBreak/>
              <w:t>研討指引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676" w:rsidRPr="00C82683" w:rsidRDefault="00840581" w:rsidP="00C82683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導讀：不義遺址如何承載歷史記憶</w:t>
            </w:r>
          </w:p>
          <w:p w:rsidR="00ED0676" w:rsidRPr="00C82683" w:rsidRDefault="00840581" w:rsidP="00C82683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主題探討：國家人權博物館（景美園區）在不同時期的空間功能變遷為何？，與此有關的歷史事件或人物有哪些？</w:t>
            </w:r>
          </w:p>
          <w:p w:rsidR="00ED0676" w:rsidRPr="00C82683" w:rsidRDefault="00840581" w:rsidP="00C8268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主題探討：透過現地參訪或從相關文獻（回憶錄或文學作品），瞭解園區空間配置、政治受難者的獄中生活與記憶。</w:t>
            </w:r>
          </w:p>
          <w:p w:rsidR="00ED0676" w:rsidRPr="00C82683" w:rsidRDefault="00840581" w:rsidP="00C8268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延伸討論：舉例說明博物館的相關活動或主題展覽，如何開啟社會對話彰顯人權價值的當代紀念意義。</w:t>
            </w:r>
          </w:p>
          <w:p w:rsidR="00ED0676" w:rsidRPr="00C82683" w:rsidRDefault="00840581" w:rsidP="00C8268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延伸討論：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2009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年曾發生園區的改名爭議，認識當時的爭議原因並分享你的看法。</w:t>
            </w:r>
          </w:p>
        </w:tc>
      </w:tr>
      <w:tr w:rsidR="00ED0676" w:rsidRPr="00C82683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676" w:rsidRPr="00C82683" w:rsidRDefault="00840581" w:rsidP="00C82683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素材取得方式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676" w:rsidRPr="00C82683" w:rsidRDefault="00840581" w:rsidP="00C82683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若要參訪，園區提供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10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人以上團體預約導</w:t>
            </w:r>
            <w:proofErr w:type="gramStart"/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覽</w:t>
            </w:r>
            <w:proofErr w:type="gramEnd"/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服務。</w:t>
            </w:r>
          </w:p>
        </w:tc>
      </w:tr>
      <w:tr w:rsidR="00ED0676" w:rsidRPr="00C82683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676" w:rsidRPr="00C82683" w:rsidRDefault="00840581" w:rsidP="00C82683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可連結的其他項盤點資源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676" w:rsidRPr="00C82683" w:rsidRDefault="00840581" w:rsidP="00C82683">
            <w:pPr>
              <w:widowControl w:val="0"/>
              <w:numPr>
                <w:ilvl w:val="0"/>
                <w:numId w:val="4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【網站】不義遺址資料庫</w:t>
            </w:r>
          </w:p>
          <w:p w:rsidR="00ED0676" w:rsidRPr="00C82683" w:rsidRDefault="00840581" w:rsidP="00C82683">
            <w:pPr>
              <w:widowControl w:val="0"/>
              <w:numPr>
                <w:ilvl w:val="0"/>
                <w:numId w:val="4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【網站】臺灣轉型正義資料庫</w:t>
            </w:r>
          </w:p>
          <w:p w:rsidR="00ED0676" w:rsidRPr="00C82683" w:rsidRDefault="00840581" w:rsidP="00C82683">
            <w:pPr>
              <w:widowControl w:val="0"/>
              <w:numPr>
                <w:ilvl w:val="0"/>
                <w:numId w:val="4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【遺址／場館】國家人權博物館（綠島園區）</w:t>
            </w:r>
          </w:p>
          <w:p w:rsidR="00ED0676" w:rsidRPr="00C82683" w:rsidRDefault="00840581" w:rsidP="00C82683">
            <w:pPr>
              <w:widowControl w:val="0"/>
              <w:numPr>
                <w:ilvl w:val="0"/>
                <w:numId w:val="4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促進轉型正義委員會，〈保存不義遺址的內涵〉，《任務總結報告》</w:t>
            </w:r>
          </w:p>
          <w:p w:rsidR="00ED0676" w:rsidRPr="00C82683" w:rsidRDefault="00840581" w:rsidP="00C82683">
            <w:pPr>
              <w:widowControl w:val="0"/>
              <w:numPr>
                <w:ilvl w:val="0"/>
                <w:numId w:val="4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延伸閱讀：【單本書籍】陳列，《殘骸書》</w:t>
            </w:r>
          </w:p>
          <w:p w:rsidR="00ED0676" w:rsidRPr="00C82683" w:rsidRDefault="00840581" w:rsidP="00C82683">
            <w:pPr>
              <w:widowControl w:val="0"/>
              <w:numPr>
                <w:ilvl w:val="0"/>
                <w:numId w:val="4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延伸閱讀：【單本書籍】陳新吉，《馬鞍藤的春天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-</w:t>
            </w:r>
            <w:r w:rsidRPr="00C82683">
              <w:rPr>
                <w:rFonts w:ascii="Times New Roman" w:eastAsia="標楷體" w:hAnsi="Times New Roman" w:cs="Gungsuh"/>
                <w:sz w:val="28"/>
                <w:szCs w:val="28"/>
              </w:rPr>
              <w:t>白色恐怖政治受難者陳新吉回憶錄》</w:t>
            </w:r>
          </w:p>
        </w:tc>
      </w:tr>
    </w:tbl>
    <w:p w:rsidR="00ED0676" w:rsidRPr="00C82683" w:rsidRDefault="00ED0676" w:rsidP="00C82683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sectPr w:rsidR="00ED0676" w:rsidRPr="00C82683">
      <w:footerReference w:type="default" r:id="rId8"/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81" w:rsidRDefault="00840581">
      <w:pPr>
        <w:spacing w:line="240" w:lineRule="auto"/>
      </w:pPr>
      <w:r>
        <w:separator/>
      </w:r>
    </w:p>
  </w:endnote>
  <w:endnote w:type="continuationSeparator" w:id="0">
    <w:p w:rsidR="00840581" w:rsidRDefault="00840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76" w:rsidRPr="00C82683" w:rsidRDefault="008405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標楷體" w:hAnsi="Times New Roman" w:cs="Times New Roman"/>
        <w:color w:val="000000"/>
        <w:sz w:val="24"/>
        <w:szCs w:val="24"/>
      </w:rPr>
    </w:pPr>
    <w:sdt>
      <w:sdtPr>
        <w:rPr>
          <w:rFonts w:ascii="Times New Roman" w:eastAsia="標楷體" w:hAnsi="Times New Roman" w:cs="Times New Roman"/>
        </w:rPr>
        <w:tag w:val="goog_rdk_40"/>
        <w:id w:val="758489772"/>
      </w:sdtPr>
      <w:sdtEndPr/>
      <w:sdtContent>
        <w:r w:rsidRPr="00C82683">
          <w:rPr>
            <w:rFonts w:ascii="Times New Roman" w:eastAsia="標楷體" w:hAnsi="Times New Roman" w:cs="Times New Roman"/>
            <w:color w:val="000000"/>
            <w:sz w:val="24"/>
            <w:szCs w:val="24"/>
          </w:rPr>
          <w:t>第</w:t>
        </w:r>
      </w:sdtContent>
    </w:sdt>
    <w:r w:rsidRPr="00C82683">
      <w:rPr>
        <w:rFonts w:ascii="Times New Roman" w:eastAsia="標楷體" w:hAnsi="Times New Roman" w:cs="Times New Roman"/>
        <w:color w:val="000000"/>
        <w:sz w:val="24"/>
        <w:szCs w:val="24"/>
      </w:rPr>
      <w:fldChar w:fldCharType="begin"/>
    </w:r>
    <w:r w:rsidRPr="00C82683">
      <w:rPr>
        <w:rFonts w:ascii="Times New Roman" w:eastAsia="標楷體" w:hAnsi="Times New Roman" w:cs="Times New Roman"/>
        <w:color w:val="000000"/>
        <w:sz w:val="24"/>
        <w:szCs w:val="24"/>
      </w:rPr>
      <w:instrText>PAGE</w:instrText>
    </w:r>
    <w:r w:rsidR="00C82683" w:rsidRPr="00C82683">
      <w:rPr>
        <w:rFonts w:ascii="Times New Roman" w:eastAsia="標楷體" w:hAnsi="Times New Roman" w:cs="Times New Roman"/>
        <w:color w:val="000000"/>
        <w:sz w:val="24"/>
        <w:szCs w:val="24"/>
      </w:rPr>
      <w:fldChar w:fldCharType="separate"/>
    </w:r>
    <w:r w:rsidR="00306136">
      <w:rPr>
        <w:rFonts w:ascii="Times New Roman" w:eastAsia="標楷體" w:hAnsi="Times New Roman" w:cs="Times New Roman"/>
        <w:noProof/>
        <w:color w:val="000000"/>
        <w:sz w:val="24"/>
        <w:szCs w:val="24"/>
      </w:rPr>
      <w:t>2</w:t>
    </w:r>
    <w:r w:rsidRPr="00C82683">
      <w:rPr>
        <w:rFonts w:ascii="Times New Roman" w:eastAsia="標楷體" w:hAnsi="Times New Roman" w:cs="Times New Roman"/>
        <w:color w:val="000000"/>
        <w:sz w:val="24"/>
        <w:szCs w:val="24"/>
      </w:rPr>
      <w:fldChar w:fldCharType="end"/>
    </w:r>
    <w:sdt>
      <w:sdtPr>
        <w:rPr>
          <w:rFonts w:ascii="Times New Roman" w:eastAsia="標楷體" w:hAnsi="Times New Roman" w:cs="Times New Roman"/>
        </w:rPr>
        <w:tag w:val="goog_rdk_41"/>
        <w:id w:val="-37586861"/>
      </w:sdtPr>
      <w:sdtEndPr/>
      <w:sdtContent>
        <w:r w:rsidRPr="00C82683">
          <w:rPr>
            <w:rFonts w:ascii="Times New Roman" w:eastAsia="標楷體" w:hAnsi="Times New Roman" w:cs="Times New Roman"/>
            <w:color w:val="000000"/>
            <w:sz w:val="24"/>
            <w:szCs w:val="24"/>
          </w:rPr>
          <w:t>頁，共</w:t>
        </w:r>
        <w:r w:rsidRPr="00C82683">
          <w:rPr>
            <w:rFonts w:ascii="Times New Roman" w:eastAsia="標楷體" w:hAnsi="Times New Roman" w:cs="Times New Roman"/>
            <w:color w:val="000000"/>
            <w:sz w:val="24"/>
            <w:szCs w:val="24"/>
          </w:rPr>
          <w:t xml:space="preserve"> </w:t>
        </w:r>
      </w:sdtContent>
    </w:sdt>
    <w:r w:rsidRPr="00C82683">
      <w:rPr>
        <w:rFonts w:ascii="Times New Roman" w:eastAsia="標楷體" w:hAnsi="Times New Roman" w:cs="Times New Roman"/>
        <w:color w:val="000000"/>
        <w:sz w:val="24"/>
        <w:szCs w:val="24"/>
      </w:rPr>
      <w:fldChar w:fldCharType="begin"/>
    </w:r>
    <w:r w:rsidRPr="00C82683">
      <w:rPr>
        <w:rFonts w:ascii="Times New Roman" w:eastAsia="標楷體" w:hAnsi="Times New Roman" w:cs="Times New Roman"/>
        <w:color w:val="000000"/>
        <w:sz w:val="24"/>
        <w:szCs w:val="24"/>
      </w:rPr>
      <w:instrText>NUMPAGES</w:instrText>
    </w:r>
    <w:r w:rsidR="00C82683" w:rsidRPr="00C82683">
      <w:rPr>
        <w:rFonts w:ascii="Times New Roman" w:eastAsia="標楷體" w:hAnsi="Times New Roman" w:cs="Times New Roman"/>
        <w:color w:val="000000"/>
        <w:sz w:val="24"/>
        <w:szCs w:val="24"/>
      </w:rPr>
      <w:fldChar w:fldCharType="separate"/>
    </w:r>
    <w:r w:rsidR="00306136">
      <w:rPr>
        <w:rFonts w:ascii="Times New Roman" w:eastAsia="標楷體" w:hAnsi="Times New Roman" w:cs="Times New Roman"/>
        <w:noProof/>
        <w:color w:val="000000"/>
        <w:sz w:val="24"/>
        <w:szCs w:val="24"/>
      </w:rPr>
      <w:t>2</w:t>
    </w:r>
    <w:r w:rsidRPr="00C82683">
      <w:rPr>
        <w:rFonts w:ascii="Times New Roman" w:eastAsia="標楷體" w:hAnsi="Times New Roman" w:cs="Times New Roman"/>
        <w:color w:val="000000"/>
        <w:sz w:val="24"/>
        <w:szCs w:val="24"/>
      </w:rPr>
      <w:fldChar w:fldCharType="end"/>
    </w:r>
    <w:sdt>
      <w:sdtPr>
        <w:rPr>
          <w:rFonts w:ascii="Times New Roman" w:eastAsia="標楷體" w:hAnsi="Times New Roman" w:cs="Times New Roman"/>
        </w:rPr>
        <w:tag w:val="goog_rdk_42"/>
        <w:id w:val="1856388650"/>
      </w:sdtPr>
      <w:sdtEndPr/>
      <w:sdtContent>
        <w:r w:rsidRPr="00C82683">
          <w:rPr>
            <w:rFonts w:ascii="Times New Roman" w:eastAsia="標楷體" w:hAnsi="Times New Roman" w:cs="Times New Roman"/>
            <w:color w:val="000000"/>
            <w:sz w:val="24"/>
            <w:szCs w:val="24"/>
          </w:rPr>
          <w:t>頁</w:t>
        </w:r>
      </w:sdtContent>
    </w:sdt>
  </w:p>
  <w:p w:rsidR="00ED0676" w:rsidRDefault="00ED06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81" w:rsidRDefault="00840581">
      <w:pPr>
        <w:spacing w:line="240" w:lineRule="auto"/>
      </w:pPr>
      <w:r>
        <w:separator/>
      </w:r>
    </w:p>
  </w:footnote>
  <w:footnote w:type="continuationSeparator" w:id="0">
    <w:p w:rsidR="00840581" w:rsidRDefault="008405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B4D43"/>
    <w:multiLevelType w:val="multilevel"/>
    <w:tmpl w:val="739C98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D90103"/>
    <w:multiLevelType w:val="multilevel"/>
    <w:tmpl w:val="10A84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F61676"/>
    <w:multiLevelType w:val="multilevel"/>
    <w:tmpl w:val="C0D0A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EB160D"/>
    <w:multiLevelType w:val="multilevel"/>
    <w:tmpl w:val="3E6883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76"/>
    <w:rsid w:val="00306136"/>
    <w:rsid w:val="00840581"/>
    <w:rsid w:val="00C82683"/>
    <w:rsid w:val="00ED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DDE1C1-2910-4E73-8D3B-0429E8F9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680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0A8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80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80A8B"/>
    <w:rPr>
      <w:sz w:val="20"/>
      <w:szCs w:val="20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JRgLMqZ/uCIAhv4FyzFip93gR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OABqIQoUc3VnZ2VzdC5rbGQwNjdsa2w5amQSCVBvY2t5IEhzdWohChRzdWdnZXN0LjR6N2kxdGtyZGY3MhIJ5qWK6JKo5am3ciExSnphMEJkbkJPNm00RXVQb1NKaDhXUU5EdVdFTVRZd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楊蒨婷</dc:creator>
  <cp:lastModifiedBy>楊蒨婷</cp:lastModifiedBy>
  <cp:revision>2</cp:revision>
  <dcterms:created xsi:type="dcterms:W3CDTF">2024-12-17T02:38:00Z</dcterms:created>
  <dcterms:modified xsi:type="dcterms:W3CDTF">2024-12-17T02:38:00Z</dcterms:modified>
</cp:coreProperties>
</file>