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495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3"/>
        <w:gridCol w:w="7512"/>
      </w:tblGrid>
      <w:tr w:rsidR="001C5B2B" w:rsidRPr="00FA441A">
        <w:trPr>
          <w:trHeight w:val="340"/>
        </w:trPr>
        <w:tc>
          <w:tcPr>
            <w:tcW w:w="9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運用指引</w:t>
            </w:r>
          </w:p>
        </w:tc>
      </w:tr>
      <w:tr w:rsidR="001C5B2B" w:rsidRPr="00FA441A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素材名稱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六張犁極樂公墓（戒嚴時期政治受難者墓園）</w:t>
            </w:r>
          </w:p>
        </w:tc>
      </w:tr>
      <w:tr w:rsidR="001C5B2B" w:rsidRPr="00FA441A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教育議題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面對過去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: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認識威權體制／展望未來：轉型正義政策專題</w:t>
            </w:r>
          </w:p>
        </w:tc>
      </w:tr>
      <w:tr w:rsidR="001C5B2B" w:rsidRPr="00FA441A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教育訓練主題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1-2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壓迫體制與案件當事人沿革專題／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3-5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不義遺址與集體記憶</w:t>
            </w:r>
          </w:p>
        </w:tc>
      </w:tr>
      <w:tr w:rsidR="001C5B2B" w:rsidRPr="00FA441A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建議實施對象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所有對象</w:t>
            </w:r>
          </w:p>
        </w:tc>
      </w:tr>
      <w:tr w:rsidR="001C5B2B" w:rsidRPr="00FA441A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建議研討方式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主題式／研討工作坊</w:t>
            </w:r>
          </w:p>
          <w:p w:rsidR="001C5B2B" w:rsidRPr="00FA441A" w:rsidRDefault="00E15587" w:rsidP="00FA441A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主題講座／講課</w:t>
            </w:r>
          </w:p>
          <w:p w:rsidR="001C5B2B" w:rsidRPr="00FA441A" w:rsidRDefault="00E15587" w:rsidP="00FA441A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主題式走讀</w:t>
            </w:r>
          </w:p>
        </w:tc>
      </w:tr>
      <w:tr w:rsidR="001C5B2B" w:rsidRPr="00FA441A">
        <w:trPr>
          <w:trHeight w:val="1644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素材簡介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一九四</w:t>
            </w:r>
            <w:r w:rsidRPr="00FA441A">
              <w:rPr>
                <w:rFonts w:ascii="新細明體" w:eastAsia="新細明體" w:hAnsi="新細明體" w:cs="新細明體" w:hint="eastAsia"/>
                <w:sz w:val="28"/>
                <w:szCs w:val="28"/>
              </w:rPr>
              <w:t>〇</w:t>
            </w:r>
            <w:r w:rsidRPr="00FA441A">
              <w:rPr>
                <w:rFonts w:ascii="Times New Roman" w:eastAsia="標楷體" w:hAnsi="Times New Roman" w:cs="標楷體"/>
                <w:sz w:val="28"/>
                <w:szCs w:val="28"/>
              </w:rPr>
              <w:t>年代末至六</w:t>
            </w:r>
            <w:r w:rsidRPr="00FA441A">
              <w:rPr>
                <w:rFonts w:ascii="新細明體" w:eastAsia="新細明體" w:hAnsi="新細明體" w:cs="新細明體" w:hint="eastAsia"/>
                <w:sz w:val="28"/>
                <w:szCs w:val="28"/>
              </w:rPr>
              <w:t>〇</w:t>
            </w:r>
            <w:r w:rsidRPr="00FA441A">
              <w:rPr>
                <w:rFonts w:ascii="Times New Roman" w:eastAsia="標楷體" w:hAnsi="Times New Roman" w:cs="標楷體"/>
                <w:sz w:val="28"/>
                <w:szCs w:val="28"/>
              </w:rPr>
              <w:t>年代，政治案件當事人遭槍決後，受刑人之遺體無人、無力、無錢認領，或因政治氛圍而不敢出面認領者，即由政府機關委託極樂殯儀館葬於六張犁極樂公墓，又以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1950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至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1954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年間為下葬高峰，並一直到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1993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年才被白色恐怖受難者發現此亂葬崗墓區。</w:t>
            </w:r>
          </w:p>
        </w:tc>
      </w:tr>
      <w:tr w:rsidR="001C5B2B" w:rsidRPr="00FA441A" w:rsidTr="00FA441A">
        <w:trPr>
          <w:trHeight w:val="2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探討議題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78374E">
            <w:pPr>
              <w:widowControl w:val="0"/>
              <w:spacing w:afterLines="50" w:after="12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參照行政院公報不義遺址審定公告總說明，不義遺址定義為「威權統治時期，大規模侵害人權事件之發生地」。爰此，辨識不義遺址，須具備三項必要條件：一、時序為威權統治時期（民國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 xml:space="preserve"> 34 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年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 xml:space="preserve"> 8 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月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 xml:space="preserve"> 15 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日起至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 xml:space="preserve"> 81 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年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 xml:space="preserve"> 11 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月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 xml:space="preserve"> 6 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日止）；二、覈實統治者大規模侵害人權事件之真實性；三是確認發生地之空間資訊。因威權統治時期國家不法侵害人權事件的樣態與規模，廣泛而多元，故促轉條例第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 xml:space="preserve"> 5 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條加入「大規模」一詞，除可凸顯由國家認定之不義遺址的代表性，也提示了侵害人權事件本身嫁接在機關權力運作系統、發生地的地理特質及社會意義之中的影響力。</w:t>
            </w:r>
          </w:p>
          <w:p w:rsidR="001C5B2B" w:rsidRPr="00FA441A" w:rsidRDefault="00E15587" w:rsidP="00FA441A">
            <w:pPr>
              <w:widowControl w:val="0"/>
              <w:spacing w:after="12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而不義遺址的保存的重要性，為將個體的受難經驗轉化為共同體的價值論述，亦為識別性、詮釋性、紀念性概念的實踐過程，使相關場所成為承載集體記憶的空間，以落實轉型正</w:t>
            </w: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lastRenderedPageBreak/>
              <w:t>義。</w:t>
            </w:r>
          </w:p>
        </w:tc>
      </w:tr>
      <w:tr w:rsidR="001C5B2B" w:rsidRPr="00FA441A">
        <w:trPr>
          <w:trHeight w:val="1545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lastRenderedPageBreak/>
              <w:t>研討指引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導讀：六張犁極樂公墓發現的過程與後續的處理。</w:t>
            </w:r>
          </w:p>
          <w:p w:rsidR="001C5B2B" w:rsidRPr="00FA441A" w:rsidRDefault="00E15587" w:rsidP="00FA441A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主題探討：葬於此地的人有什麼共通點？和威權統治的關係為何？</w:t>
            </w:r>
          </w:p>
          <w:p w:rsidR="001C5B2B" w:rsidRPr="00FA441A" w:rsidRDefault="00E15587" w:rsidP="00FA441A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主題探討：（可分組）搭配〈不義遺址資料庫〉，認識受難者從被逮捕、關押、審判、槍決與埋葬的場址與流程</w:t>
            </w:r>
          </w:p>
          <w:p w:rsidR="001C5B2B" w:rsidRPr="00FA441A" w:rsidRDefault="00E15587" w:rsidP="00FA441A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延伸討論：六張犁極樂公墓與馬場町刑場，為臺灣保存不義遺址的初始案例，保存的過程為何？</w:t>
            </w:r>
          </w:p>
          <w:p w:rsidR="001C5B2B" w:rsidRPr="00FA441A" w:rsidRDefault="00E15587" w:rsidP="00FA441A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延伸討論：身為歷史現場的不義遺址，如何承載歷史記憶？</w:t>
            </w:r>
          </w:p>
        </w:tc>
      </w:tr>
      <w:tr w:rsidR="001C5B2B" w:rsidRPr="00FA441A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素材取得方式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目前沒有專門的導覽團體，若有導覽需求，可詢問台灣民間真相與和解促進會或台灣共生青年協會。</w:t>
            </w:r>
          </w:p>
        </w:tc>
      </w:tr>
      <w:tr w:rsidR="001C5B2B" w:rsidRPr="00FA441A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可連結的其他項盤點資源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B2B" w:rsidRPr="00FA441A" w:rsidRDefault="00E15587" w:rsidP="00FA441A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【網站】不義遺址資料庫</w:t>
            </w:r>
          </w:p>
          <w:p w:rsidR="001C5B2B" w:rsidRPr="00FA441A" w:rsidRDefault="00E15587" w:rsidP="00FA441A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【網站】臺灣轉型正義資料庫</w:t>
            </w:r>
          </w:p>
          <w:p w:rsidR="001C5B2B" w:rsidRPr="00FA441A" w:rsidRDefault="00E15587" w:rsidP="00FA441A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【長片】《超級大國民》</w:t>
            </w:r>
          </w:p>
          <w:p w:rsidR="001C5B2B" w:rsidRPr="00FA441A" w:rsidRDefault="00E15587" w:rsidP="00FA441A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【遺址／場館】國家人權博物館（景美園區）</w:t>
            </w:r>
          </w:p>
          <w:p w:rsidR="001C5B2B" w:rsidRPr="00FA441A" w:rsidRDefault="00E15587" w:rsidP="00FA441A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【單本書籍】《無法送達的遺書：記那些在恐怖年代失落的人》</w:t>
            </w:r>
          </w:p>
          <w:p w:rsidR="001C5B2B" w:rsidRPr="00FA441A" w:rsidRDefault="00E15587" w:rsidP="00FA441A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41A">
              <w:rPr>
                <w:rFonts w:ascii="Times New Roman" w:eastAsia="標楷體" w:hAnsi="Times New Roman" w:cs="Gungsuh"/>
                <w:sz w:val="28"/>
                <w:szCs w:val="28"/>
              </w:rPr>
              <w:t>促進轉型正義委員會，〈保存不義遺址的內涵〉，《任務總結報告》</w:t>
            </w:r>
          </w:p>
        </w:tc>
      </w:tr>
    </w:tbl>
    <w:p w:rsidR="001C5B2B" w:rsidRPr="00FA441A" w:rsidRDefault="001C5B2B" w:rsidP="00FA441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C5B2B" w:rsidRPr="00FA441A" w:rsidRDefault="001C5B2B" w:rsidP="00FA441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1C5B2B" w:rsidRPr="00FA441A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55" w:rsidRDefault="00525955">
      <w:pPr>
        <w:spacing w:line="240" w:lineRule="auto"/>
      </w:pPr>
      <w:r>
        <w:separator/>
      </w:r>
    </w:p>
  </w:endnote>
  <w:endnote w:type="continuationSeparator" w:id="0">
    <w:p w:rsidR="00525955" w:rsidRDefault="00525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B2B" w:rsidRPr="004A4C76" w:rsidRDefault="005259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標楷體" w:hAnsi="Times New Roman" w:cs="Times New Roman"/>
        <w:color w:val="000000"/>
        <w:sz w:val="24"/>
        <w:szCs w:val="24"/>
      </w:rPr>
    </w:pPr>
    <w:sdt>
      <w:sdtPr>
        <w:rPr>
          <w:rFonts w:ascii="Times New Roman" w:eastAsia="標楷體" w:hAnsi="Times New Roman" w:cs="Times New Roman"/>
        </w:rPr>
        <w:tag w:val="goog_rdk_34"/>
        <w:id w:val="287788888"/>
      </w:sdtPr>
      <w:sdtEndPr/>
      <w:sdtContent>
        <w:r w:rsidR="00E15587" w:rsidRPr="004A4C76">
          <w:rPr>
            <w:rFonts w:ascii="Times New Roman" w:eastAsia="標楷體" w:hAnsi="Times New Roman" w:cs="Times New Roman"/>
            <w:color w:val="000000"/>
            <w:sz w:val="24"/>
            <w:szCs w:val="24"/>
          </w:rPr>
          <w:t>第</w:t>
        </w:r>
      </w:sdtContent>
    </w:sdt>
    <w:r w:rsidR="00E15587" w:rsidRPr="004A4C76">
      <w:rPr>
        <w:rFonts w:ascii="Times New Roman" w:eastAsia="標楷體" w:hAnsi="Times New Roman" w:cs="Times New Roman"/>
        <w:color w:val="000000"/>
        <w:sz w:val="24"/>
        <w:szCs w:val="24"/>
      </w:rPr>
      <w:fldChar w:fldCharType="begin"/>
    </w:r>
    <w:r w:rsidR="00E15587" w:rsidRPr="004A4C76">
      <w:rPr>
        <w:rFonts w:ascii="Times New Roman" w:eastAsia="標楷體" w:hAnsi="Times New Roman" w:cs="Times New Roman"/>
        <w:color w:val="000000"/>
        <w:sz w:val="24"/>
        <w:szCs w:val="24"/>
      </w:rPr>
      <w:instrText>PAGE</w:instrText>
    </w:r>
    <w:r w:rsidR="00E15587" w:rsidRPr="004A4C76">
      <w:rPr>
        <w:rFonts w:ascii="Times New Roman" w:eastAsia="標楷體" w:hAnsi="Times New Roman" w:cs="Times New Roman"/>
        <w:color w:val="000000"/>
        <w:sz w:val="24"/>
        <w:szCs w:val="24"/>
      </w:rPr>
      <w:fldChar w:fldCharType="separate"/>
    </w:r>
    <w:r w:rsidR="00656425">
      <w:rPr>
        <w:rFonts w:ascii="Times New Roman" w:eastAsia="標楷體" w:hAnsi="Times New Roman" w:cs="Times New Roman"/>
        <w:noProof/>
        <w:color w:val="000000"/>
        <w:sz w:val="24"/>
        <w:szCs w:val="24"/>
      </w:rPr>
      <w:t>1</w:t>
    </w:r>
    <w:r w:rsidR="00E15587" w:rsidRPr="004A4C76">
      <w:rPr>
        <w:rFonts w:ascii="Times New Roman" w:eastAsia="標楷體" w:hAnsi="Times New Roman" w:cs="Times New Roman"/>
        <w:color w:val="000000"/>
        <w:sz w:val="24"/>
        <w:szCs w:val="24"/>
      </w:rPr>
      <w:fldChar w:fldCharType="end"/>
    </w:r>
    <w:sdt>
      <w:sdtPr>
        <w:rPr>
          <w:rFonts w:ascii="Times New Roman" w:eastAsia="標楷體" w:hAnsi="Times New Roman" w:cs="Times New Roman"/>
        </w:rPr>
        <w:tag w:val="goog_rdk_35"/>
        <w:id w:val="1207681969"/>
      </w:sdtPr>
      <w:sdtEndPr/>
      <w:sdtContent>
        <w:r w:rsidR="00E15587" w:rsidRPr="004A4C76">
          <w:rPr>
            <w:rFonts w:ascii="Times New Roman" w:eastAsia="標楷體" w:hAnsi="Times New Roman" w:cs="Times New Roman"/>
            <w:color w:val="000000"/>
            <w:sz w:val="24"/>
            <w:szCs w:val="24"/>
          </w:rPr>
          <w:t>頁，共</w:t>
        </w:r>
        <w:r w:rsidR="00E15587" w:rsidRPr="004A4C76">
          <w:rPr>
            <w:rFonts w:ascii="Times New Roman" w:eastAsia="標楷體" w:hAnsi="Times New Roman" w:cs="Times New Roman"/>
            <w:color w:val="000000"/>
            <w:sz w:val="24"/>
            <w:szCs w:val="24"/>
          </w:rPr>
          <w:t xml:space="preserve"> </w:t>
        </w:r>
      </w:sdtContent>
    </w:sdt>
    <w:r w:rsidR="00E15587" w:rsidRPr="004A4C76">
      <w:rPr>
        <w:rFonts w:ascii="Times New Roman" w:eastAsia="標楷體" w:hAnsi="Times New Roman" w:cs="Times New Roman"/>
        <w:color w:val="000000"/>
        <w:sz w:val="24"/>
        <w:szCs w:val="24"/>
      </w:rPr>
      <w:fldChar w:fldCharType="begin"/>
    </w:r>
    <w:r w:rsidR="00E15587" w:rsidRPr="004A4C76">
      <w:rPr>
        <w:rFonts w:ascii="Times New Roman" w:eastAsia="標楷體" w:hAnsi="Times New Roman" w:cs="Times New Roman"/>
        <w:color w:val="000000"/>
        <w:sz w:val="24"/>
        <w:szCs w:val="24"/>
      </w:rPr>
      <w:instrText>NUMPAGES</w:instrText>
    </w:r>
    <w:r w:rsidR="00E15587" w:rsidRPr="004A4C76">
      <w:rPr>
        <w:rFonts w:ascii="Times New Roman" w:eastAsia="標楷體" w:hAnsi="Times New Roman" w:cs="Times New Roman"/>
        <w:color w:val="000000"/>
        <w:sz w:val="24"/>
        <w:szCs w:val="24"/>
      </w:rPr>
      <w:fldChar w:fldCharType="separate"/>
    </w:r>
    <w:r w:rsidR="00656425">
      <w:rPr>
        <w:rFonts w:ascii="Times New Roman" w:eastAsia="標楷體" w:hAnsi="Times New Roman" w:cs="Times New Roman"/>
        <w:noProof/>
        <w:color w:val="000000"/>
        <w:sz w:val="24"/>
        <w:szCs w:val="24"/>
      </w:rPr>
      <w:t>2</w:t>
    </w:r>
    <w:r w:rsidR="00E15587" w:rsidRPr="004A4C76">
      <w:rPr>
        <w:rFonts w:ascii="Times New Roman" w:eastAsia="標楷體" w:hAnsi="Times New Roman" w:cs="Times New Roman"/>
        <w:color w:val="000000"/>
        <w:sz w:val="24"/>
        <w:szCs w:val="24"/>
      </w:rPr>
      <w:fldChar w:fldCharType="end"/>
    </w:r>
    <w:sdt>
      <w:sdtPr>
        <w:rPr>
          <w:rFonts w:ascii="Times New Roman" w:eastAsia="標楷體" w:hAnsi="Times New Roman" w:cs="Times New Roman"/>
        </w:rPr>
        <w:tag w:val="goog_rdk_36"/>
        <w:id w:val="-1136635098"/>
      </w:sdtPr>
      <w:sdtEndPr/>
      <w:sdtContent>
        <w:r w:rsidR="00E15587" w:rsidRPr="004A4C76">
          <w:rPr>
            <w:rFonts w:ascii="Times New Roman" w:eastAsia="標楷體" w:hAnsi="Times New Roman" w:cs="Times New Roman"/>
            <w:color w:val="000000"/>
            <w:sz w:val="24"/>
            <w:szCs w:val="24"/>
          </w:rPr>
          <w:t>頁</w:t>
        </w:r>
      </w:sdtContent>
    </w:sdt>
  </w:p>
  <w:p w:rsidR="001C5B2B" w:rsidRDefault="001C5B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55" w:rsidRDefault="00525955">
      <w:pPr>
        <w:spacing w:line="240" w:lineRule="auto"/>
      </w:pPr>
      <w:r>
        <w:separator/>
      </w:r>
    </w:p>
  </w:footnote>
  <w:footnote w:type="continuationSeparator" w:id="0">
    <w:p w:rsidR="00525955" w:rsidRDefault="005259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78F3"/>
    <w:multiLevelType w:val="multilevel"/>
    <w:tmpl w:val="96221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640C15"/>
    <w:multiLevelType w:val="multilevel"/>
    <w:tmpl w:val="605892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A654D2"/>
    <w:multiLevelType w:val="multilevel"/>
    <w:tmpl w:val="8A742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2B"/>
    <w:rsid w:val="001C5B2B"/>
    <w:rsid w:val="004A4C76"/>
    <w:rsid w:val="00525955"/>
    <w:rsid w:val="00656425"/>
    <w:rsid w:val="0078374E"/>
    <w:rsid w:val="00E15587"/>
    <w:rsid w:val="00F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D3AF7-A7DF-4858-AF04-49B4C521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C13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3F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3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3F38"/>
    <w:rPr>
      <w:sz w:val="20"/>
      <w:szCs w:val="20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JDrcxCItJTl9UVXlUiZSfmW4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yCGguZ2pkZ3hzOABqIQoUc3VnZ2VzdC4yZDdrcWJyNXcyOHMSCVBvY2t5IEhzdWohChRzdWdnZXN0LmlydnM4aWI1cm1zOBIJ5qWK6JKo5am3ciExT2R1aTdYckI1T24zc1RucXFNb0hVb0lMX1VmckJJR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楊蒨婷</dc:creator>
  <cp:lastModifiedBy>楊蒨婷</cp:lastModifiedBy>
  <cp:revision>2</cp:revision>
  <dcterms:created xsi:type="dcterms:W3CDTF">2024-12-17T02:36:00Z</dcterms:created>
  <dcterms:modified xsi:type="dcterms:W3CDTF">2024-12-17T02:36:00Z</dcterms:modified>
</cp:coreProperties>
</file>