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9495"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3"/>
        <w:gridCol w:w="7512"/>
      </w:tblGrid>
      <w:tr w:rsidR="002600D4" w:rsidRPr="00790FC8">
        <w:trPr>
          <w:trHeight w:val="340"/>
        </w:trPr>
        <w:tc>
          <w:tcPr>
            <w:tcW w:w="9495" w:type="dxa"/>
            <w:gridSpan w:val="2"/>
            <w:shd w:val="clear" w:color="auto" w:fill="auto"/>
            <w:tcMar>
              <w:top w:w="100" w:type="dxa"/>
              <w:left w:w="100" w:type="dxa"/>
              <w:bottom w:w="100" w:type="dxa"/>
              <w:right w:w="100" w:type="dxa"/>
            </w:tcMar>
            <w:vAlign w:val="center"/>
          </w:tcPr>
          <w:p w:rsidR="002600D4" w:rsidRPr="00790FC8" w:rsidRDefault="000A6418" w:rsidP="00790FC8">
            <w:pPr>
              <w:widowControl w:val="0"/>
              <w:spacing w:line="440" w:lineRule="exact"/>
              <w:jc w:val="both"/>
              <w:rPr>
                <w:rFonts w:ascii="Times New Roman" w:eastAsia="標楷體" w:hAnsi="Times New Roman" w:cs="Times New Roman"/>
                <w:sz w:val="28"/>
                <w:szCs w:val="28"/>
              </w:rPr>
            </w:pPr>
            <w:r w:rsidRPr="00790FC8">
              <w:rPr>
                <w:rFonts w:ascii="Times New Roman" w:eastAsia="標楷體" w:hAnsi="Times New Roman" w:cs="Gungsuh"/>
                <w:sz w:val="28"/>
                <w:szCs w:val="28"/>
              </w:rPr>
              <w:t>運用指引</w:t>
            </w:r>
          </w:p>
        </w:tc>
      </w:tr>
      <w:tr w:rsidR="002600D4" w:rsidRPr="00790FC8">
        <w:trPr>
          <w:trHeight w:val="340"/>
        </w:trPr>
        <w:tc>
          <w:tcPr>
            <w:tcW w:w="1983" w:type="dxa"/>
            <w:shd w:val="clear" w:color="auto" w:fill="auto"/>
            <w:tcMar>
              <w:top w:w="100" w:type="dxa"/>
              <w:left w:w="100" w:type="dxa"/>
              <w:bottom w:w="100" w:type="dxa"/>
              <w:right w:w="100" w:type="dxa"/>
            </w:tcMar>
          </w:tcPr>
          <w:p w:rsidR="002600D4" w:rsidRPr="00790FC8" w:rsidRDefault="000A6418" w:rsidP="00790FC8">
            <w:pPr>
              <w:widowControl w:val="0"/>
              <w:spacing w:line="440" w:lineRule="exact"/>
              <w:jc w:val="both"/>
              <w:rPr>
                <w:rFonts w:ascii="Times New Roman" w:eastAsia="標楷體" w:hAnsi="Times New Roman" w:cs="Times New Roman"/>
                <w:sz w:val="28"/>
                <w:szCs w:val="28"/>
              </w:rPr>
            </w:pPr>
            <w:r w:rsidRPr="00790FC8">
              <w:rPr>
                <w:rFonts w:ascii="Times New Roman" w:eastAsia="標楷體" w:hAnsi="Times New Roman" w:cs="Gungsuh"/>
                <w:sz w:val="28"/>
                <w:szCs w:val="28"/>
              </w:rPr>
              <w:t>素材名稱</w:t>
            </w:r>
          </w:p>
        </w:tc>
        <w:tc>
          <w:tcPr>
            <w:tcW w:w="7512" w:type="dxa"/>
            <w:shd w:val="clear" w:color="auto" w:fill="auto"/>
            <w:tcMar>
              <w:top w:w="100" w:type="dxa"/>
              <w:left w:w="100" w:type="dxa"/>
              <w:bottom w:w="100" w:type="dxa"/>
              <w:right w:w="100" w:type="dxa"/>
            </w:tcMar>
          </w:tcPr>
          <w:p w:rsidR="002600D4" w:rsidRPr="00790FC8" w:rsidRDefault="000A6418" w:rsidP="00790FC8">
            <w:pPr>
              <w:widowControl w:val="0"/>
              <w:spacing w:line="440" w:lineRule="exact"/>
              <w:jc w:val="both"/>
              <w:rPr>
                <w:rFonts w:ascii="Times New Roman" w:eastAsia="標楷體" w:hAnsi="Times New Roman" w:cs="Times New Roman"/>
                <w:sz w:val="28"/>
                <w:szCs w:val="28"/>
              </w:rPr>
            </w:pPr>
            <w:r w:rsidRPr="00790FC8">
              <w:rPr>
                <w:rFonts w:ascii="Times New Roman" w:eastAsia="標楷體" w:hAnsi="Times New Roman" w:cs="Gungsuh"/>
                <w:sz w:val="28"/>
                <w:szCs w:val="28"/>
              </w:rPr>
              <w:t>海軍總司令部情報處看守所／海軍總司令部情報處拘留所／海軍總部軍法處看守所</w:t>
            </w:r>
          </w:p>
        </w:tc>
      </w:tr>
      <w:tr w:rsidR="002600D4" w:rsidRPr="00790FC8">
        <w:trPr>
          <w:trHeight w:val="340"/>
        </w:trPr>
        <w:tc>
          <w:tcPr>
            <w:tcW w:w="1983" w:type="dxa"/>
            <w:shd w:val="clear" w:color="auto" w:fill="auto"/>
            <w:tcMar>
              <w:top w:w="100" w:type="dxa"/>
              <w:left w:w="100" w:type="dxa"/>
              <w:bottom w:w="100" w:type="dxa"/>
              <w:right w:w="100" w:type="dxa"/>
            </w:tcMar>
          </w:tcPr>
          <w:p w:rsidR="002600D4" w:rsidRPr="00790FC8" w:rsidRDefault="000A6418" w:rsidP="00790FC8">
            <w:pPr>
              <w:widowControl w:val="0"/>
              <w:spacing w:line="440" w:lineRule="exact"/>
              <w:jc w:val="both"/>
              <w:rPr>
                <w:rFonts w:ascii="Times New Roman" w:eastAsia="標楷體" w:hAnsi="Times New Roman" w:cs="Times New Roman"/>
                <w:sz w:val="28"/>
                <w:szCs w:val="28"/>
              </w:rPr>
            </w:pPr>
            <w:r w:rsidRPr="00790FC8">
              <w:rPr>
                <w:rFonts w:ascii="Times New Roman" w:eastAsia="標楷體" w:hAnsi="Times New Roman" w:cs="Gungsuh"/>
                <w:sz w:val="28"/>
                <w:szCs w:val="28"/>
              </w:rPr>
              <w:t>教育議題</w:t>
            </w:r>
          </w:p>
        </w:tc>
        <w:tc>
          <w:tcPr>
            <w:tcW w:w="7512" w:type="dxa"/>
            <w:shd w:val="clear" w:color="auto" w:fill="auto"/>
            <w:tcMar>
              <w:top w:w="100" w:type="dxa"/>
              <w:left w:w="100" w:type="dxa"/>
              <w:bottom w:w="100" w:type="dxa"/>
              <w:right w:w="100" w:type="dxa"/>
            </w:tcMar>
          </w:tcPr>
          <w:p w:rsidR="002600D4" w:rsidRPr="00790FC8" w:rsidRDefault="000A6418" w:rsidP="00790FC8">
            <w:pPr>
              <w:spacing w:line="440" w:lineRule="exact"/>
              <w:rPr>
                <w:rFonts w:ascii="Times New Roman" w:eastAsia="標楷體" w:hAnsi="Times New Roman" w:cs="Times New Roman"/>
                <w:sz w:val="28"/>
                <w:szCs w:val="28"/>
              </w:rPr>
            </w:pPr>
            <w:r w:rsidRPr="00790FC8">
              <w:rPr>
                <w:rFonts w:ascii="Times New Roman" w:eastAsia="標楷體" w:hAnsi="Times New Roman" w:cs="Gungsuh"/>
                <w:sz w:val="28"/>
                <w:szCs w:val="28"/>
              </w:rPr>
              <w:t>面對過去：認識威權體制／展望未來：轉型正義專題</w:t>
            </w:r>
          </w:p>
        </w:tc>
      </w:tr>
      <w:tr w:rsidR="002600D4" w:rsidRPr="00790FC8">
        <w:trPr>
          <w:trHeight w:val="340"/>
        </w:trPr>
        <w:tc>
          <w:tcPr>
            <w:tcW w:w="1983" w:type="dxa"/>
            <w:shd w:val="clear" w:color="auto" w:fill="auto"/>
            <w:tcMar>
              <w:top w:w="100" w:type="dxa"/>
              <w:left w:w="100" w:type="dxa"/>
              <w:bottom w:w="100" w:type="dxa"/>
              <w:right w:w="100" w:type="dxa"/>
            </w:tcMar>
          </w:tcPr>
          <w:p w:rsidR="002600D4" w:rsidRPr="00790FC8" w:rsidRDefault="000A6418" w:rsidP="00790FC8">
            <w:pPr>
              <w:widowControl w:val="0"/>
              <w:spacing w:line="440" w:lineRule="exact"/>
              <w:jc w:val="both"/>
              <w:rPr>
                <w:rFonts w:ascii="Times New Roman" w:eastAsia="標楷體" w:hAnsi="Times New Roman" w:cs="Times New Roman"/>
                <w:sz w:val="28"/>
                <w:szCs w:val="28"/>
              </w:rPr>
            </w:pPr>
            <w:r w:rsidRPr="00790FC8">
              <w:rPr>
                <w:rFonts w:ascii="Times New Roman" w:eastAsia="標楷體" w:hAnsi="Times New Roman" w:cs="Gungsuh"/>
                <w:sz w:val="28"/>
                <w:szCs w:val="28"/>
              </w:rPr>
              <w:t>教育訓練主題</w:t>
            </w:r>
          </w:p>
        </w:tc>
        <w:tc>
          <w:tcPr>
            <w:tcW w:w="7512" w:type="dxa"/>
            <w:shd w:val="clear" w:color="auto" w:fill="auto"/>
            <w:tcMar>
              <w:top w:w="100" w:type="dxa"/>
              <w:left w:w="100" w:type="dxa"/>
              <w:bottom w:w="100" w:type="dxa"/>
              <w:right w:w="100" w:type="dxa"/>
            </w:tcMar>
          </w:tcPr>
          <w:p w:rsidR="002600D4" w:rsidRPr="00790FC8" w:rsidRDefault="000A6418" w:rsidP="00790FC8">
            <w:pPr>
              <w:spacing w:line="440" w:lineRule="exact"/>
              <w:rPr>
                <w:rFonts w:ascii="Times New Roman" w:eastAsia="標楷體" w:hAnsi="Times New Roman" w:cs="Times New Roman"/>
                <w:sz w:val="28"/>
                <w:szCs w:val="28"/>
              </w:rPr>
            </w:pPr>
            <w:r w:rsidRPr="00790FC8">
              <w:rPr>
                <w:rFonts w:ascii="Times New Roman" w:eastAsia="標楷體" w:hAnsi="Times New Roman" w:cs="Gungsuh"/>
                <w:sz w:val="28"/>
                <w:szCs w:val="28"/>
              </w:rPr>
              <w:t>1-3</w:t>
            </w:r>
            <w:r w:rsidRPr="00790FC8">
              <w:rPr>
                <w:rFonts w:ascii="Times New Roman" w:eastAsia="標楷體" w:hAnsi="Times New Roman" w:cs="Gungsuh"/>
                <w:sz w:val="28"/>
                <w:szCs w:val="28"/>
              </w:rPr>
              <w:t>機關學校沿革專題／</w:t>
            </w:r>
            <w:r w:rsidRPr="00790FC8">
              <w:rPr>
                <w:rFonts w:ascii="Times New Roman" w:eastAsia="標楷體" w:hAnsi="Times New Roman" w:cs="Gungsuh"/>
                <w:sz w:val="28"/>
                <w:szCs w:val="28"/>
              </w:rPr>
              <w:t>1-4</w:t>
            </w:r>
            <w:r w:rsidRPr="00790FC8">
              <w:rPr>
                <w:rFonts w:ascii="Times New Roman" w:eastAsia="標楷體" w:hAnsi="Times New Roman" w:cs="Gungsuh"/>
                <w:sz w:val="28"/>
                <w:szCs w:val="28"/>
              </w:rPr>
              <w:t>社區、部落、地方史專題／</w:t>
            </w:r>
            <w:r w:rsidRPr="00790FC8">
              <w:rPr>
                <w:rFonts w:ascii="Times New Roman" w:eastAsia="標楷體" w:hAnsi="Times New Roman" w:cs="Gungsuh"/>
                <w:sz w:val="28"/>
                <w:szCs w:val="28"/>
              </w:rPr>
              <w:t>3-5</w:t>
            </w:r>
            <w:r w:rsidRPr="00790FC8">
              <w:rPr>
                <w:rFonts w:ascii="Times New Roman" w:eastAsia="標楷體" w:hAnsi="Times New Roman" w:cs="Gungsuh"/>
                <w:sz w:val="28"/>
                <w:szCs w:val="28"/>
              </w:rPr>
              <w:t>不義遺址與集體記憶</w:t>
            </w:r>
          </w:p>
        </w:tc>
      </w:tr>
      <w:tr w:rsidR="002600D4" w:rsidRPr="00790FC8">
        <w:trPr>
          <w:trHeight w:val="340"/>
        </w:trPr>
        <w:tc>
          <w:tcPr>
            <w:tcW w:w="1983" w:type="dxa"/>
            <w:shd w:val="clear" w:color="auto" w:fill="auto"/>
            <w:tcMar>
              <w:top w:w="100" w:type="dxa"/>
              <w:left w:w="100" w:type="dxa"/>
              <w:bottom w:w="100" w:type="dxa"/>
              <w:right w:w="100" w:type="dxa"/>
            </w:tcMar>
          </w:tcPr>
          <w:p w:rsidR="002600D4" w:rsidRPr="00790FC8" w:rsidRDefault="000A6418" w:rsidP="00790FC8">
            <w:pPr>
              <w:widowControl w:val="0"/>
              <w:spacing w:line="440" w:lineRule="exact"/>
              <w:jc w:val="both"/>
              <w:rPr>
                <w:rFonts w:ascii="Times New Roman" w:eastAsia="標楷體" w:hAnsi="Times New Roman" w:cs="Times New Roman"/>
                <w:sz w:val="28"/>
                <w:szCs w:val="28"/>
              </w:rPr>
            </w:pPr>
            <w:r w:rsidRPr="00790FC8">
              <w:rPr>
                <w:rFonts w:ascii="Times New Roman" w:eastAsia="標楷體" w:hAnsi="Times New Roman" w:cs="Gungsuh"/>
                <w:sz w:val="28"/>
                <w:szCs w:val="28"/>
              </w:rPr>
              <w:t>建議實施對象</w:t>
            </w:r>
          </w:p>
        </w:tc>
        <w:tc>
          <w:tcPr>
            <w:tcW w:w="7512" w:type="dxa"/>
            <w:shd w:val="clear" w:color="auto" w:fill="auto"/>
            <w:tcMar>
              <w:top w:w="100" w:type="dxa"/>
              <w:left w:w="100" w:type="dxa"/>
              <w:bottom w:w="100" w:type="dxa"/>
              <w:right w:w="100" w:type="dxa"/>
            </w:tcMar>
          </w:tcPr>
          <w:p w:rsidR="002600D4" w:rsidRPr="00790FC8" w:rsidRDefault="000A6418" w:rsidP="00790FC8">
            <w:pPr>
              <w:widowControl w:val="0"/>
              <w:spacing w:line="440" w:lineRule="exact"/>
              <w:jc w:val="both"/>
              <w:rPr>
                <w:rFonts w:ascii="Times New Roman" w:eastAsia="標楷體" w:hAnsi="Times New Roman" w:cs="Times New Roman"/>
                <w:sz w:val="28"/>
                <w:szCs w:val="28"/>
              </w:rPr>
            </w:pPr>
            <w:r w:rsidRPr="00790FC8">
              <w:rPr>
                <w:rFonts w:ascii="Times New Roman" w:eastAsia="標楷體" w:hAnsi="Times New Roman" w:cs="Gungsuh"/>
                <w:sz w:val="28"/>
                <w:szCs w:val="28"/>
              </w:rPr>
              <w:t>特定專業人員優先，亦適用於所有對象</w:t>
            </w:r>
          </w:p>
        </w:tc>
      </w:tr>
      <w:tr w:rsidR="002600D4" w:rsidRPr="00790FC8">
        <w:trPr>
          <w:trHeight w:val="340"/>
        </w:trPr>
        <w:tc>
          <w:tcPr>
            <w:tcW w:w="1983" w:type="dxa"/>
            <w:shd w:val="clear" w:color="auto" w:fill="auto"/>
            <w:tcMar>
              <w:top w:w="100" w:type="dxa"/>
              <w:left w:w="100" w:type="dxa"/>
              <w:bottom w:w="100" w:type="dxa"/>
              <w:right w:w="100" w:type="dxa"/>
            </w:tcMar>
          </w:tcPr>
          <w:p w:rsidR="002600D4" w:rsidRPr="00790FC8" w:rsidRDefault="000A6418" w:rsidP="00790FC8">
            <w:pPr>
              <w:widowControl w:val="0"/>
              <w:spacing w:line="440" w:lineRule="exact"/>
              <w:jc w:val="both"/>
              <w:rPr>
                <w:rFonts w:ascii="Times New Roman" w:eastAsia="標楷體" w:hAnsi="Times New Roman" w:cs="Times New Roman"/>
                <w:sz w:val="28"/>
                <w:szCs w:val="28"/>
              </w:rPr>
            </w:pPr>
            <w:r w:rsidRPr="00790FC8">
              <w:rPr>
                <w:rFonts w:ascii="Times New Roman" w:eastAsia="標楷體" w:hAnsi="Times New Roman" w:cs="Gungsuh"/>
                <w:sz w:val="28"/>
                <w:szCs w:val="28"/>
              </w:rPr>
              <w:t>建議研討方式</w:t>
            </w:r>
          </w:p>
        </w:tc>
        <w:tc>
          <w:tcPr>
            <w:tcW w:w="7512" w:type="dxa"/>
            <w:shd w:val="clear" w:color="auto" w:fill="auto"/>
            <w:tcMar>
              <w:top w:w="100" w:type="dxa"/>
              <w:left w:w="100" w:type="dxa"/>
              <w:bottom w:w="100" w:type="dxa"/>
              <w:right w:w="100" w:type="dxa"/>
            </w:tcMar>
          </w:tcPr>
          <w:p w:rsidR="002600D4" w:rsidRPr="00790FC8" w:rsidRDefault="000A6418" w:rsidP="00790FC8">
            <w:pPr>
              <w:widowControl w:val="0"/>
              <w:numPr>
                <w:ilvl w:val="0"/>
                <w:numId w:val="3"/>
              </w:numPr>
              <w:spacing w:line="440" w:lineRule="exact"/>
              <w:jc w:val="both"/>
              <w:rPr>
                <w:rFonts w:ascii="Times New Roman" w:eastAsia="標楷體" w:hAnsi="Times New Roman" w:cs="Times New Roman"/>
                <w:sz w:val="28"/>
                <w:szCs w:val="28"/>
              </w:rPr>
            </w:pPr>
            <w:r w:rsidRPr="00790FC8">
              <w:rPr>
                <w:rFonts w:ascii="Times New Roman" w:eastAsia="標楷體" w:hAnsi="Times New Roman" w:cs="Gungsuh"/>
                <w:sz w:val="28"/>
                <w:szCs w:val="28"/>
              </w:rPr>
              <w:t>主題式／研討工作坊</w:t>
            </w:r>
          </w:p>
          <w:p w:rsidR="002600D4" w:rsidRPr="00790FC8" w:rsidRDefault="000A6418" w:rsidP="00790FC8">
            <w:pPr>
              <w:widowControl w:val="0"/>
              <w:numPr>
                <w:ilvl w:val="0"/>
                <w:numId w:val="3"/>
              </w:numPr>
              <w:spacing w:line="440" w:lineRule="exact"/>
              <w:jc w:val="both"/>
              <w:rPr>
                <w:rFonts w:ascii="Times New Roman" w:eastAsia="標楷體" w:hAnsi="Times New Roman" w:cs="Times New Roman"/>
                <w:sz w:val="28"/>
                <w:szCs w:val="28"/>
              </w:rPr>
            </w:pPr>
            <w:r w:rsidRPr="00790FC8">
              <w:rPr>
                <w:rFonts w:ascii="Times New Roman" w:eastAsia="標楷體" w:hAnsi="Times New Roman" w:cs="Gungsuh"/>
                <w:sz w:val="28"/>
                <w:szCs w:val="28"/>
              </w:rPr>
              <w:t>主題講座／講課</w:t>
            </w:r>
          </w:p>
          <w:p w:rsidR="002600D4" w:rsidRPr="00790FC8" w:rsidRDefault="000A6418" w:rsidP="00790FC8">
            <w:pPr>
              <w:widowControl w:val="0"/>
              <w:numPr>
                <w:ilvl w:val="0"/>
                <w:numId w:val="3"/>
              </w:numPr>
              <w:spacing w:line="440" w:lineRule="exact"/>
              <w:jc w:val="both"/>
              <w:rPr>
                <w:rFonts w:ascii="Times New Roman" w:eastAsia="標楷體" w:hAnsi="Times New Roman" w:cs="Times New Roman"/>
                <w:sz w:val="28"/>
                <w:szCs w:val="28"/>
              </w:rPr>
            </w:pPr>
            <w:r w:rsidRPr="00790FC8">
              <w:rPr>
                <w:rFonts w:ascii="Times New Roman" w:eastAsia="標楷體" w:hAnsi="Times New Roman" w:cs="Gungsuh"/>
                <w:sz w:val="28"/>
                <w:szCs w:val="28"/>
              </w:rPr>
              <w:t>主題式走讀</w:t>
            </w:r>
          </w:p>
        </w:tc>
      </w:tr>
      <w:tr w:rsidR="002600D4" w:rsidRPr="00790FC8">
        <w:trPr>
          <w:trHeight w:val="340"/>
        </w:trPr>
        <w:tc>
          <w:tcPr>
            <w:tcW w:w="1983" w:type="dxa"/>
            <w:shd w:val="clear" w:color="auto" w:fill="auto"/>
            <w:tcMar>
              <w:top w:w="100" w:type="dxa"/>
              <w:left w:w="100" w:type="dxa"/>
              <w:bottom w:w="100" w:type="dxa"/>
              <w:right w:w="100" w:type="dxa"/>
            </w:tcMar>
          </w:tcPr>
          <w:p w:rsidR="002600D4" w:rsidRPr="00790FC8" w:rsidRDefault="000A6418" w:rsidP="00790FC8">
            <w:pPr>
              <w:widowControl w:val="0"/>
              <w:spacing w:line="440" w:lineRule="exact"/>
              <w:jc w:val="both"/>
              <w:rPr>
                <w:rFonts w:ascii="Times New Roman" w:eastAsia="標楷體" w:hAnsi="Times New Roman" w:cs="Times New Roman"/>
                <w:sz w:val="28"/>
                <w:szCs w:val="28"/>
              </w:rPr>
            </w:pPr>
            <w:r w:rsidRPr="00790FC8">
              <w:rPr>
                <w:rFonts w:ascii="Times New Roman" w:eastAsia="標楷體" w:hAnsi="Times New Roman" w:cs="Gungsuh"/>
                <w:sz w:val="28"/>
                <w:szCs w:val="28"/>
              </w:rPr>
              <w:t>運用素材類型</w:t>
            </w:r>
          </w:p>
        </w:tc>
        <w:tc>
          <w:tcPr>
            <w:tcW w:w="7512" w:type="dxa"/>
            <w:shd w:val="clear" w:color="auto" w:fill="auto"/>
            <w:tcMar>
              <w:top w:w="100" w:type="dxa"/>
              <w:left w:w="100" w:type="dxa"/>
              <w:bottom w:w="100" w:type="dxa"/>
              <w:right w:w="100" w:type="dxa"/>
            </w:tcMar>
          </w:tcPr>
          <w:p w:rsidR="002600D4" w:rsidRPr="00790FC8" w:rsidRDefault="000A6418" w:rsidP="00790FC8">
            <w:pPr>
              <w:widowControl w:val="0"/>
              <w:spacing w:line="440" w:lineRule="exact"/>
              <w:jc w:val="both"/>
              <w:rPr>
                <w:rFonts w:ascii="Times New Roman" w:eastAsia="標楷體" w:hAnsi="Times New Roman" w:cs="Times New Roman"/>
                <w:sz w:val="28"/>
                <w:szCs w:val="28"/>
              </w:rPr>
            </w:pPr>
            <w:r w:rsidRPr="00790FC8">
              <w:rPr>
                <w:rFonts w:ascii="Times New Roman" w:eastAsia="標楷體" w:hAnsi="Times New Roman" w:cs="Gungsuh"/>
                <w:sz w:val="28"/>
                <w:szCs w:val="28"/>
              </w:rPr>
              <w:t>遺址／場館</w:t>
            </w:r>
          </w:p>
        </w:tc>
      </w:tr>
      <w:tr w:rsidR="002600D4" w:rsidRPr="00790FC8">
        <w:trPr>
          <w:trHeight w:val="1644"/>
        </w:trPr>
        <w:tc>
          <w:tcPr>
            <w:tcW w:w="1983" w:type="dxa"/>
            <w:shd w:val="clear" w:color="auto" w:fill="auto"/>
            <w:tcMar>
              <w:top w:w="100" w:type="dxa"/>
              <w:left w:w="100" w:type="dxa"/>
              <w:bottom w:w="100" w:type="dxa"/>
              <w:right w:w="100" w:type="dxa"/>
            </w:tcMar>
          </w:tcPr>
          <w:p w:rsidR="002600D4" w:rsidRPr="00790FC8" w:rsidRDefault="000A6418" w:rsidP="00790FC8">
            <w:pPr>
              <w:widowControl w:val="0"/>
              <w:spacing w:line="440" w:lineRule="exact"/>
              <w:jc w:val="both"/>
              <w:rPr>
                <w:rFonts w:ascii="Times New Roman" w:eastAsia="標楷體" w:hAnsi="Times New Roman" w:cs="Times New Roman"/>
                <w:sz w:val="28"/>
                <w:szCs w:val="28"/>
              </w:rPr>
            </w:pPr>
            <w:r w:rsidRPr="00790FC8">
              <w:rPr>
                <w:rFonts w:ascii="Times New Roman" w:eastAsia="標楷體" w:hAnsi="Times New Roman" w:cs="Gungsuh"/>
                <w:sz w:val="28"/>
                <w:szCs w:val="28"/>
              </w:rPr>
              <w:t>素材簡介</w:t>
            </w:r>
          </w:p>
        </w:tc>
        <w:tc>
          <w:tcPr>
            <w:tcW w:w="7512" w:type="dxa"/>
            <w:shd w:val="clear" w:color="auto" w:fill="auto"/>
            <w:tcMar>
              <w:top w:w="100" w:type="dxa"/>
              <w:left w:w="100" w:type="dxa"/>
              <w:bottom w:w="100" w:type="dxa"/>
              <w:right w:w="100" w:type="dxa"/>
            </w:tcMar>
          </w:tcPr>
          <w:p w:rsidR="002600D4" w:rsidRPr="00790FC8" w:rsidRDefault="000A6418" w:rsidP="00790FC8">
            <w:pPr>
              <w:widowControl w:val="0"/>
              <w:spacing w:after="120" w:line="440" w:lineRule="exact"/>
              <w:jc w:val="both"/>
              <w:rPr>
                <w:rFonts w:ascii="Times New Roman" w:eastAsia="標楷體" w:hAnsi="Times New Roman" w:cs="Times New Roman"/>
                <w:sz w:val="28"/>
                <w:szCs w:val="28"/>
              </w:rPr>
            </w:pPr>
            <w:r w:rsidRPr="00790FC8">
              <w:rPr>
                <w:rFonts w:ascii="Times New Roman" w:eastAsia="標楷體" w:hAnsi="Times New Roman" w:cs="Gungsuh"/>
                <w:sz w:val="28"/>
                <w:szCs w:val="28"/>
              </w:rPr>
              <w:t>與海軍白色恐怖歷史相關的遺址點：</w:t>
            </w:r>
          </w:p>
          <w:p w:rsidR="002600D4" w:rsidRPr="00790FC8" w:rsidRDefault="000A6418" w:rsidP="00790FC8">
            <w:pPr>
              <w:widowControl w:val="0"/>
              <w:numPr>
                <w:ilvl w:val="0"/>
                <w:numId w:val="2"/>
              </w:numPr>
              <w:spacing w:after="200" w:line="440" w:lineRule="exact"/>
              <w:rPr>
                <w:rFonts w:ascii="Times New Roman" w:eastAsia="標楷體" w:hAnsi="Times New Roman" w:cs="Times New Roman"/>
                <w:sz w:val="28"/>
                <w:szCs w:val="28"/>
              </w:rPr>
            </w:pPr>
            <w:r w:rsidRPr="00790FC8">
              <w:rPr>
                <w:rFonts w:ascii="Times New Roman" w:eastAsia="標楷體" w:hAnsi="Times New Roman" w:cs="Gungsuh"/>
                <w:sz w:val="28"/>
                <w:szCs w:val="28"/>
              </w:rPr>
              <w:t>海軍總司令部情報處看守所</w:t>
            </w:r>
            <w:r w:rsidRPr="00790FC8">
              <w:rPr>
                <w:rFonts w:ascii="Times New Roman" w:eastAsia="標楷體" w:hAnsi="Times New Roman" w:cs="Gungsuh"/>
                <w:sz w:val="28"/>
                <w:szCs w:val="28"/>
              </w:rPr>
              <w:br/>
            </w:r>
            <w:r w:rsidRPr="00790FC8">
              <w:rPr>
                <w:rFonts w:ascii="Times New Roman" w:eastAsia="標楷體" w:hAnsi="Times New Roman" w:cs="Gungsuh"/>
                <w:sz w:val="28"/>
                <w:szCs w:val="28"/>
              </w:rPr>
              <w:t>白色恐怖期間，偵訊、拘禁海軍總部臺灣工作隊所逮捕的軍中政治犯及思想犯。</w:t>
            </w:r>
          </w:p>
          <w:p w:rsidR="002600D4" w:rsidRPr="00790FC8" w:rsidRDefault="000A6418" w:rsidP="00790FC8">
            <w:pPr>
              <w:widowControl w:val="0"/>
              <w:numPr>
                <w:ilvl w:val="0"/>
                <w:numId w:val="2"/>
              </w:numPr>
              <w:spacing w:after="200" w:line="440" w:lineRule="exact"/>
              <w:rPr>
                <w:rFonts w:ascii="Times New Roman" w:eastAsia="標楷體" w:hAnsi="Times New Roman" w:cs="Times New Roman"/>
                <w:sz w:val="28"/>
                <w:szCs w:val="28"/>
              </w:rPr>
            </w:pPr>
            <w:r w:rsidRPr="00790FC8">
              <w:rPr>
                <w:rFonts w:ascii="Times New Roman" w:eastAsia="標楷體" w:hAnsi="Times New Roman" w:cs="Gungsuh"/>
                <w:sz w:val="28"/>
                <w:szCs w:val="28"/>
              </w:rPr>
              <w:t>海軍總司令部情報處拘留所</w:t>
            </w:r>
            <w:r w:rsidRPr="00790FC8">
              <w:rPr>
                <w:rFonts w:ascii="Times New Roman" w:eastAsia="標楷體" w:hAnsi="Times New Roman" w:cs="Gungsuh"/>
                <w:sz w:val="28"/>
                <w:szCs w:val="28"/>
              </w:rPr>
              <w:br/>
            </w:r>
            <w:r w:rsidRPr="00790FC8">
              <w:rPr>
                <w:rFonts w:ascii="Times New Roman" w:eastAsia="標楷體" w:hAnsi="Times New Roman" w:cs="Gungsuh"/>
                <w:sz w:val="28"/>
                <w:szCs w:val="28"/>
              </w:rPr>
              <w:t>白色恐怖期間，威權政府以政治案件進行軍隊派系肅清，軍人遭受軍事機關不當逮捕後拘禁於此，以酷刑訊問取供。</w:t>
            </w:r>
          </w:p>
          <w:p w:rsidR="002600D4" w:rsidRPr="00790FC8" w:rsidRDefault="000A6418" w:rsidP="00790FC8">
            <w:pPr>
              <w:widowControl w:val="0"/>
              <w:numPr>
                <w:ilvl w:val="0"/>
                <w:numId w:val="2"/>
              </w:numPr>
              <w:spacing w:line="440" w:lineRule="exact"/>
              <w:rPr>
                <w:rFonts w:ascii="Times New Roman" w:eastAsia="標楷體" w:hAnsi="Times New Roman" w:cs="Times New Roman"/>
                <w:sz w:val="28"/>
                <w:szCs w:val="28"/>
              </w:rPr>
            </w:pPr>
            <w:r w:rsidRPr="00790FC8">
              <w:rPr>
                <w:rFonts w:ascii="Times New Roman" w:eastAsia="標楷體" w:hAnsi="Times New Roman" w:cs="Gungsuh"/>
                <w:sz w:val="28"/>
                <w:szCs w:val="28"/>
              </w:rPr>
              <w:t>海軍總部軍法處看守所（空間未開放）</w:t>
            </w:r>
            <w:r w:rsidRPr="00790FC8">
              <w:rPr>
                <w:rFonts w:ascii="Times New Roman" w:eastAsia="標楷體" w:hAnsi="Times New Roman" w:cs="Gungsuh"/>
                <w:sz w:val="28"/>
                <w:szCs w:val="28"/>
              </w:rPr>
              <w:br/>
            </w:r>
            <w:r w:rsidRPr="00790FC8">
              <w:rPr>
                <w:rFonts w:ascii="Times New Roman" w:eastAsia="標楷體" w:hAnsi="Times New Roman" w:cs="Gungsuh"/>
                <w:sz w:val="28"/>
                <w:szCs w:val="28"/>
              </w:rPr>
              <w:t>現今的海軍鎮海營區，</w:t>
            </w:r>
            <w:r w:rsidRPr="00790FC8">
              <w:rPr>
                <w:rFonts w:ascii="Times New Roman" w:eastAsia="標楷體" w:hAnsi="Times New Roman" w:cs="Gungsuh"/>
                <w:sz w:val="28"/>
                <w:szCs w:val="28"/>
              </w:rPr>
              <w:t>1949</w:t>
            </w:r>
            <w:r w:rsidRPr="00790FC8">
              <w:rPr>
                <w:rFonts w:ascii="Times New Roman" w:eastAsia="標楷體" w:hAnsi="Times New Roman" w:cs="Gungsuh"/>
                <w:sz w:val="28"/>
                <w:szCs w:val="28"/>
              </w:rPr>
              <w:t>至</w:t>
            </w:r>
            <w:r w:rsidRPr="00790FC8">
              <w:rPr>
                <w:rFonts w:ascii="Times New Roman" w:eastAsia="標楷體" w:hAnsi="Times New Roman" w:cs="Gungsuh"/>
                <w:sz w:val="28"/>
                <w:szCs w:val="28"/>
              </w:rPr>
              <w:t>1954</w:t>
            </w:r>
            <w:r w:rsidRPr="00790FC8">
              <w:rPr>
                <w:rFonts w:ascii="Times New Roman" w:eastAsia="標楷體" w:hAnsi="Times New Roman" w:cs="Gungsuh"/>
                <w:sz w:val="28"/>
                <w:szCs w:val="28"/>
              </w:rPr>
              <w:t>年為海軍總部軍法處看守所。</w:t>
            </w:r>
          </w:p>
        </w:tc>
      </w:tr>
      <w:tr w:rsidR="002600D4" w:rsidRPr="00790FC8">
        <w:trPr>
          <w:trHeight w:val="1545"/>
        </w:trPr>
        <w:tc>
          <w:tcPr>
            <w:tcW w:w="1983" w:type="dxa"/>
            <w:shd w:val="clear" w:color="auto" w:fill="auto"/>
            <w:tcMar>
              <w:top w:w="100" w:type="dxa"/>
              <w:left w:w="100" w:type="dxa"/>
              <w:bottom w:w="100" w:type="dxa"/>
              <w:right w:w="100" w:type="dxa"/>
            </w:tcMar>
          </w:tcPr>
          <w:p w:rsidR="002600D4" w:rsidRPr="00790FC8" w:rsidRDefault="002600D4" w:rsidP="00790FC8">
            <w:pPr>
              <w:widowControl w:val="0"/>
              <w:spacing w:line="440" w:lineRule="exact"/>
              <w:jc w:val="both"/>
              <w:rPr>
                <w:rFonts w:ascii="Times New Roman" w:eastAsia="標楷體" w:hAnsi="Times New Roman" w:cs="Times New Roman"/>
                <w:sz w:val="28"/>
                <w:szCs w:val="28"/>
              </w:rPr>
            </w:pPr>
          </w:p>
        </w:tc>
        <w:tc>
          <w:tcPr>
            <w:tcW w:w="7512" w:type="dxa"/>
            <w:shd w:val="clear" w:color="auto" w:fill="auto"/>
            <w:tcMar>
              <w:top w:w="100" w:type="dxa"/>
              <w:left w:w="100" w:type="dxa"/>
              <w:bottom w:w="100" w:type="dxa"/>
              <w:right w:w="100" w:type="dxa"/>
            </w:tcMar>
          </w:tcPr>
          <w:p w:rsidR="002600D4" w:rsidRPr="00790FC8" w:rsidRDefault="000A6418" w:rsidP="00790FC8">
            <w:pPr>
              <w:widowControl w:val="0"/>
              <w:spacing w:after="120" w:line="440" w:lineRule="exact"/>
              <w:jc w:val="both"/>
              <w:rPr>
                <w:rFonts w:ascii="Times New Roman" w:eastAsia="標楷體" w:hAnsi="Times New Roman" w:cs="Times New Roman"/>
                <w:sz w:val="28"/>
                <w:szCs w:val="28"/>
              </w:rPr>
            </w:pPr>
            <w:r w:rsidRPr="00790FC8">
              <w:rPr>
                <w:rFonts w:ascii="Times New Roman" w:eastAsia="標楷體" w:hAnsi="Times New Roman" w:cs="Gungsuh"/>
                <w:sz w:val="28"/>
                <w:szCs w:val="28"/>
              </w:rPr>
              <w:t>參照行政院公報不義遺址審定公告總說明，不義遺址定義為「威權統治時期，大規模侵害人權事件之發生地」。爰此，辨識不義遺址，須具備三項必要條件：一、時序為威權統治</w:t>
            </w:r>
            <w:r w:rsidRPr="00790FC8">
              <w:rPr>
                <w:rFonts w:ascii="Times New Roman" w:eastAsia="標楷體" w:hAnsi="Times New Roman" w:cs="Gungsuh"/>
                <w:sz w:val="28"/>
                <w:szCs w:val="28"/>
              </w:rPr>
              <w:lastRenderedPageBreak/>
              <w:t>時期（民國</w:t>
            </w:r>
            <w:r w:rsidRPr="00790FC8">
              <w:rPr>
                <w:rFonts w:ascii="Times New Roman" w:eastAsia="標楷體" w:hAnsi="Times New Roman" w:cs="Gungsuh"/>
                <w:sz w:val="28"/>
                <w:szCs w:val="28"/>
              </w:rPr>
              <w:t xml:space="preserve"> 34 </w:t>
            </w:r>
            <w:r w:rsidRPr="00790FC8">
              <w:rPr>
                <w:rFonts w:ascii="Times New Roman" w:eastAsia="標楷體" w:hAnsi="Times New Roman" w:cs="Gungsuh"/>
                <w:sz w:val="28"/>
                <w:szCs w:val="28"/>
              </w:rPr>
              <w:t>年</w:t>
            </w:r>
            <w:r w:rsidRPr="00790FC8">
              <w:rPr>
                <w:rFonts w:ascii="Times New Roman" w:eastAsia="標楷體" w:hAnsi="Times New Roman" w:cs="Gungsuh"/>
                <w:sz w:val="28"/>
                <w:szCs w:val="28"/>
              </w:rPr>
              <w:t xml:space="preserve"> 8 </w:t>
            </w:r>
            <w:r w:rsidRPr="00790FC8">
              <w:rPr>
                <w:rFonts w:ascii="Times New Roman" w:eastAsia="標楷體" w:hAnsi="Times New Roman" w:cs="Gungsuh"/>
                <w:sz w:val="28"/>
                <w:szCs w:val="28"/>
              </w:rPr>
              <w:t>月</w:t>
            </w:r>
            <w:r w:rsidRPr="00790FC8">
              <w:rPr>
                <w:rFonts w:ascii="Times New Roman" w:eastAsia="標楷體" w:hAnsi="Times New Roman" w:cs="Gungsuh"/>
                <w:sz w:val="28"/>
                <w:szCs w:val="28"/>
              </w:rPr>
              <w:t xml:space="preserve"> 15 </w:t>
            </w:r>
            <w:r w:rsidRPr="00790FC8">
              <w:rPr>
                <w:rFonts w:ascii="Times New Roman" w:eastAsia="標楷體" w:hAnsi="Times New Roman" w:cs="Gungsuh"/>
                <w:sz w:val="28"/>
                <w:szCs w:val="28"/>
              </w:rPr>
              <w:t>日起至</w:t>
            </w:r>
            <w:r w:rsidRPr="00790FC8">
              <w:rPr>
                <w:rFonts w:ascii="Times New Roman" w:eastAsia="標楷體" w:hAnsi="Times New Roman" w:cs="Gungsuh"/>
                <w:sz w:val="28"/>
                <w:szCs w:val="28"/>
              </w:rPr>
              <w:t xml:space="preserve"> 81 </w:t>
            </w:r>
            <w:r w:rsidRPr="00790FC8">
              <w:rPr>
                <w:rFonts w:ascii="Times New Roman" w:eastAsia="標楷體" w:hAnsi="Times New Roman" w:cs="Gungsuh"/>
                <w:sz w:val="28"/>
                <w:szCs w:val="28"/>
              </w:rPr>
              <w:t>年</w:t>
            </w:r>
            <w:r w:rsidRPr="00790FC8">
              <w:rPr>
                <w:rFonts w:ascii="Times New Roman" w:eastAsia="標楷體" w:hAnsi="Times New Roman" w:cs="Gungsuh"/>
                <w:sz w:val="28"/>
                <w:szCs w:val="28"/>
              </w:rPr>
              <w:t xml:space="preserve"> 11 </w:t>
            </w:r>
            <w:r w:rsidRPr="00790FC8">
              <w:rPr>
                <w:rFonts w:ascii="Times New Roman" w:eastAsia="標楷體" w:hAnsi="Times New Roman" w:cs="Gungsuh"/>
                <w:sz w:val="28"/>
                <w:szCs w:val="28"/>
              </w:rPr>
              <w:t>月</w:t>
            </w:r>
            <w:r w:rsidRPr="00790FC8">
              <w:rPr>
                <w:rFonts w:ascii="Times New Roman" w:eastAsia="標楷體" w:hAnsi="Times New Roman" w:cs="Gungsuh"/>
                <w:sz w:val="28"/>
                <w:szCs w:val="28"/>
              </w:rPr>
              <w:t xml:space="preserve"> 6 </w:t>
            </w:r>
            <w:r w:rsidRPr="00790FC8">
              <w:rPr>
                <w:rFonts w:ascii="Times New Roman" w:eastAsia="標楷體" w:hAnsi="Times New Roman" w:cs="Gungsuh"/>
                <w:sz w:val="28"/>
                <w:szCs w:val="28"/>
              </w:rPr>
              <w:t>日止）；二、覈實統治者大規模侵害人權事件之真實性；三是確認發生地之空間資訊。因威權統治時期國家不法侵害人權事件的樣態與規模，廣泛而多元，故促轉條例第</w:t>
            </w:r>
            <w:r w:rsidRPr="00790FC8">
              <w:rPr>
                <w:rFonts w:ascii="Times New Roman" w:eastAsia="標楷體" w:hAnsi="Times New Roman" w:cs="Gungsuh"/>
                <w:sz w:val="28"/>
                <w:szCs w:val="28"/>
              </w:rPr>
              <w:t xml:space="preserve"> 5 </w:t>
            </w:r>
            <w:r w:rsidRPr="00790FC8">
              <w:rPr>
                <w:rFonts w:ascii="Times New Roman" w:eastAsia="標楷體" w:hAnsi="Times New Roman" w:cs="Gungsuh"/>
                <w:sz w:val="28"/>
                <w:szCs w:val="28"/>
              </w:rPr>
              <w:t>條加入「大規模」一詞，除可凸顯由國家認定之不義遺址的代表性，也提示了侵害人權事件本身嫁接在機關權力運作系統、發生地的地理特質及社會意義</w:t>
            </w:r>
            <w:r w:rsidRPr="00790FC8">
              <w:rPr>
                <w:rFonts w:ascii="Times New Roman" w:eastAsia="標楷體" w:hAnsi="Times New Roman" w:cs="Gungsuh"/>
                <w:sz w:val="28"/>
                <w:szCs w:val="28"/>
              </w:rPr>
              <w:t>之中的影響力。</w:t>
            </w:r>
          </w:p>
          <w:p w:rsidR="002600D4" w:rsidRPr="00790FC8" w:rsidRDefault="000A6418" w:rsidP="00790FC8">
            <w:pPr>
              <w:widowControl w:val="0"/>
              <w:spacing w:line="440" w:lineRule="exact"/>
              <w:jc w:val="both"/>
              <w:rPr>
                <w:rFonts w:ascii="Times New Roman" w:eastAsia="標楷體" w:hAnsi="Times New Roman" w:cs="Times New Roman"/>
                <w:sz w:val="28"/>
                <w:szCs w:val="28"/>
              </w:rPr>
            </w:pPr>
            <w:r w:rsidRPr="00790FC8">
              <w:rPr>
                <w:rFonts w:ascii="Times New Roman" w:eastAsia="標楷體" w:hAnsi="Times New Roman" w:cs="Gungsuh"/>
                <w:sz w:val="28"/>
                <w:szCs w:val="28"/>
              </w:rPr>
              <w:t>而不義遺址的保存的重要性，為將個體的受難經驗轉化為共同體的價值論述，亦為識別性、詮釋性、紀念性概念的實踐過程，使相關場所成為承載集體記憶的空間，以落實轉型正義。</w:t>
            </w:r>
          </w:p>
        </w:tc>
      </w:tr>
      <w:tr w:rsidR="002600D4" w:rsidRPr="00790FC8">
        <w:trPr>
          <w:trHeight w:val="1545"/>
        </w:trPr>
        <w:tc>
          <w:tcPr>
            <w:tcW w:w="1983" w:type="dxa"/>
            <w:shd w:val="clear" w:color="auto" w:fill="auto"/>
            <w:tcMar>
              <w:top w:w="100" w:type="dxa"/>
              <w:left w:w="100" w:type="dxa"/>
              <w:bottom w:w="100" w:type="dxa"/>
              <w:right w:w="100" w:type="dxa"/>
            </w:tcMar>
          </w:tcPr>
          <w:p w:rsidR="002600D4" w:rsidRPr="00790FC8" w:rsidRDefault="000A6418" w:rsidP="00790FC8">
            <w:pPr>
              <w:widowControl w:val="0"/>
              <w:spacing w:line="440" w:lineRule="exact"/>
              <w:jc w:val="both"/>
              <w:rPr>
                <w:rFonts w:ascii="Times New Roman" w:eastAsia="標楷體" w:hAnsi="Times New Roman" w:cs="Times New Roman"/>
                <w:sz w:val="28"/>
                <w:szCs w:val="28"/>
              </w:rPr>
            </w:pPr>
            <w:r w:rsidRPr="00790FC8">
              <w:rPr>
                <w:rFonts w:ascii="Times New Roman" w:eastAsia="標楷體" w:hAnsi="Times New Roman" w:cs="Gungsuh"/>
                <w:sz w:val="28"/>
                <w:szCs w:val="28"/>
              </w:rPr>
              <w:lastRenderedPageBreak/>
              <w:t>探討議題</w:t>
            </w:r>
          </w:p>
        </w:tc>
        <w:tc>
          <w:tcPr>
            <w:tcW w:w="7512" w:type="dxa"/>
            <w:shd w:val="clear" w:color="auto" w:fill="auto"/>
            <w:tcMar>
              <w:top w:w="100" w:type="dxa"/>
              <w:left w:w="100" w:type="dxa"/>
              <w:bottom w:w="100" w:type="dxa"/>
              <w:right w:w="100" w:type="dxa"/>
            </w:tcMar>
          </w:tcPr>
          <w:p w:rsidR="002600D4" w:rsidRPr="00790FC8" w:rsidRDefault="000A6418" w:rsidP="00790FC8">
            <w:pPr>
              <w:widowControl w:val="0"/>
              <w:numPr>
                <w:ilvl w:val="0"/>
                <w:numId w:val="4"/>
              </w:numPr>
              <w:spacing w:line="440" w:lineRule="exact"/>
              <w:jc w:val="both"/>
              <w:rPr>
                <w:rFonts w:ascii="Times New Roman" w:eastAsia="標楷體" w:hAnsi="Times New Roman" w:cs="Times New Roman"/>
                <w:sz w:val="28"/>
                <w:szCs w:val="28"/>
              </w:rPr>
            </w:pPr>
            <w:r w:rsidRPr="00790FC8">
              <w:rPr>
                <w:rFonts w:ascii="Times New Roman" w:eastAsia="標楷體" w:hAnsi="Times New Roman" w:cs="Gungsuh"/>
                <w:sz w:val="28"/>
                <w:szCs w:val="28"/>
              </w:rPr>
              <w:t>導讀：軍中的白色恐怖政治案件。</w:t>
            </w:r>
          </w:p>
          <w:p w:rsidR="002600D4" w:rsidRPr="00790FC8" w:rsidRDefault="000A6418" w:rsidP="00790FC8">
            <w:pPr>
              <w:widowControl w:val="0"/>
              <w:numPr>
                <w:ilvl w:val="0"/>
                <w:numId w:val="4"/>
              </w:numPr>
              <w:spacing w:line="440" w:lineRule="exact"/>
              <w:jc w:val="both"/>
              <w:rPr>
                <w:rFonts w:ascii="Times New Roman" w:eastAsia="標楷體" w:hAnsi="Times New Roman" w:cs="Times New Roman"/>
                <w:sz w:val="28"/>
                <w:szCs w:val="28"/>
              </w:rPr>
            </w:pPr>
            <w:r w:rsidRPr="00790FC8">
              <w:rPr>
                <w:rFonts w:ascii="Times New Roman" w:eastAsia="標楷體" w:hAnsi="Times New Roman" w:cs="Gungsuh"/>
                <w:sz w:val="28"/>
                <w:szCs w:val="28"/>
              </w:rPr>
              <w:t>主題探討：搭配〈不義遺址資料庫〉，認識海軍總司令部情報處的負責工作與單位沿革。</w:t>
            </w:r>
          </w:p>
          <w:p w:rsidR="002600D4" w:rsidRPr="00790FC8" w:rsidRDefault="000A6418" w:rsidP="00790FC8">
            <w:pPr>
              <w:widowControl w:val="0"/>
              <w:numPr>
                <w:ilvl w:val="0"/>
                <w:numId w:val="4"/>
              </w:numPr>
              <w:spacing w:line="440" w:lineRule="exact"/>
              <w:jc w:val="both"/>
              <w:rPr>
                <w:rFonts w:ascii="Times New Roman" w:eastAsia="標楷體" w:hAnsi="Times New Roman" w:cs="Times New Roman"/>
                <w:sz w:val="28"/>
                <w:szCs w:val="28"/>
              </w:rPr>
            </w:pPr>
            <w:r w:rsidRPr="00790FC8">
              <w:rPr>
                <w:rFonts w:ascii="Times New Roman" w:eastAsia="標楷體" w:hAnsi="Times New Roman" w:cs="Gungsuh"/>
                <w:sz w:val="28"/>
                <w:szCs w:val="28"/>
              </w:rPr>
              <w:t>主題探討：軍事審判系統與一般政治案件的審判系統有何差異？</w:t>
            </w:r>
          </w:p>
          <w:p w:rsidR="002600D4" w:rsidRPr="00790FC8" w:rsidRDefault="000A6418" w:rsidP="00790FC8">
            <w:pPr>
              <w:widowControl w:val="0"/>
              <w:numPr>
                <w:ilvl w:val="0"/>
                <w:numId w:val="4"/>
              </w:numPr>
              <w:spacing w:line="440" w:lineRule="exact"/>
              <w:jc w:val="both"/>
              <w:rPr>
                <w:rFonts w:ascii="Times New Roman" w:eastAsia="標楷體" w:hAnsi="Times New Roman" w:cs="Times New Roman"/>
                <w:sz w:val="28"/>
                <w:szCs w:val="28"/>
              </w:rPr>
            </w:pPr>
            <w:r w:rsidRPr="00790FC8">
              <w:rPr>
                <w:rFonts w:ascii="Times New Roman" w:eastAsia="標楷體" w:hAnsi="Times New Roman" w:cs="Gungsuh"/>
                <w:sz w:val="28"/>
                <w:szCs w:val="28"/>
              </w:rPr>
              <w:t>延伸討論：威權體制下，情治單位之間有時因為權力鬥爭或是派系傾軋而使某些人成為受難者，軍方也一樣嗎？兩者有何差別？</w:t>
            </w:r>
          </w:p>
        </w:tc>
      </w:tr>
      <w:tr w:rsidR="002600D4" w:rsidRPr="00790FC8">
        <w:trPr>
          <w:trHeight w:val="340"/>
        </w:trPr>
        <w:tc>
          <w:tcPr>
            <w:tcW w:w="1983" w:type="dxa"/>
            <w:shd w:val="clear" w:color="auto" w:fill="auto"/>
            <w:tcMar>
              <w:top w:w="100" w:type="dxa"/>
              <w:left w:w="100" w:type="dxa"/>
              <w:bottom w:w="100" w:type="dxa"/>
              <w:right w:w="100" w:type="dxa"/>
            </w:tcMar>
          </w:tcPr>
          <w:p w:rsidR="002600D4" w:rsidRPr="00790FC8" w:rsidRDefault="000A6418" w:rsidP="00790FC8">
            <w:pPr>
              <w:widowControl w:val="0"/>
              <w:spacing w:line="440" w:lineRule="exact"/>
              <w:jc w:val="both"/>
              <w:rPr>
                <w:rFonts w:ascii="Times New Roman" w:eastAsia="標楷體" w:hAnsi="Times New Roman" w:cs="Times New Roman"/>
                <w:sz w:val="28"/>
                <w:szCs w:val="28"/>
              </w:rPr>
            </w:pPr>
            <w:r w:rsidRPr="00790FC8">
              <w:rPr>
                <w:rFonts w:ascii="Times New Roman" w:eastAsia="標楷體" w:hAnsi="Times New Roman" w:cs="Gungsuh"/>
                <w:sz w:val="28"/>
                <w:szCs w:val="28"/>
              </w:rPr>
              <w:t>素材取得方式</w:t>
            </w:r>
          </w:p>
        </w:tc>
        <w:tc>
          <w:tcPr>
            <w:tcW w:w="7512" w:type="dxa"/>
            <w:shd w:val="clear" w:color="auto" w:fill="auto"/>
            <w:tcMar>
              <w:top w:w="100" w:type="dxa"/>
              <w:left w:w="100" w:type="dxa"/>
              <w:bottom w:w="100" w:type="dxa"/>
              <w:right w:w="100" w:type="dxa"/>
            </w:tcMar>
          </w:tcPr>
          <w:p w:rsidR="002600D4" w:rsidRPr="00790FC8" w:rsidRDefault="000A6418" w:rsidP="00790FC8">
            <w:pPr>
              <w:widowControl w:val="0"/>
              <w:spacing w:line="440" w:lineRule="exact"/>
              <w:jc w:val="both"/>
              <w:rPr>
                <w:rFonts w:ascii="Times New Roman" w:eastAsia="標楷體" w:hAnsi="Times New Roman" w:cs="Times New Roman"/>
                <w:sz w:val="28"/>
                <w:szCs w:val="28"/>
              </w:rPr>
            </w:pPr>
            <w:r w:rsidRPr="00790FC8">
              <w:rPr>
                <w:rFonts w:ascii="Times New Roman" w:eastAsia="標楷體" w:hAnsi="Times New Roman" w:cs="Gungsuh"/>
                <w:sz w:val="28"/>
                <w:szCs w:val="28"/>
              </w:rPr>
              <w:t>若要參訪，請見延伸閱讀資訊。</w:t>
            </w:r>
          </w:p>
        </w:tc>
      </w:tr>
      <w:tr w:rsidR="002600D4" w:rsidRPr="00790FC8">
        <w:trPr>
          <w:trHeight w:val="340"/>
        </w:trPr>
        <w:tc>
          <w:tcPr>
            <w:tcW w:w="1983" w:type="dxa"/>
            <w:shd w:val="clear" w:color="auto" w:fill="auto"/>
            <w:tcMar>
              <w:top w:w="100" w:type="dxa"/>
              <w:left w:w="100" w:type="dxa"/>
              <w:bottom w:w="100" w:type="dxa"/>
              <w:right w:w="100" w:type="dxa"/>
            </w:tcMar>
          </w:tcPr>
          <w:p w:rsidR="002600D4" w:rsidRPr="00790FC8" w:rsidRDefault="000A6418" w:rsidP="00790FC8">
            <w:pPr>
              <w:widowControl w:val="0"/>
              <w:spacing w:line="440" w:lineRule="exact"/>
              <w:jc w:val="both"/>
              <w:rPr>
                <w:rFonts w:ascii="Times New Roman" w:eastAsia="標楷體" w:hAnsi="Times New Roman" w:cs="Times New Roman"/>
                <w:sz w:val="28"/>
                <w:szCs w:val="28"/>
              </w:rPr>
            </w:pPr>
            <w:r w:rsidRPr="00790FC8">
              <w:rPr>
                <w:rFonts w:ascii="Times New Roman" w:eastAsia="標楷體" w:hAnsi="Times New Roman" w:cs="Gungsuh"/>
                <w:sz w:val="28"/>
                <w:szCs w:val="28"/>
              </w:rPr>
              <w:t>可連結的其他項盤點資源</w:t>
            </w:r>
          </w:p>
        </w:tc>
        <w:tc>
          <w:tcPr>
            <w:tcW w:w="7512" w:type="dxa"/>
            <w:shd w:val="clear" w:color="auto" w:fill="auto"/>
            <w:tcMar>
              <w:top w:w="100" w:type="dxa"/>
              <w:left w:w="100" w:type="dxa"/>
              <w:bottom w:w="100" w:type="dxa"/>
              <w:right w:w="100" w:type="dxa"/>
            </w:tcMar>
          </w:tcPr>
          <w:p w:rsidR="002600D4" w:rsidRPr="00790FC8" w:rsidRDefault="000A6418" w:rsidP="00790FC8">
            <w:pPr>
              <w:widowControl w:val="0"/>
              <w:numPr>
                <w:ilvl w:val="0"/>
                <w:numId w:val="1"/>
              </w:numPr>
              <w:spacing w:line="440" w:lineRule="exact"/>
              <w:jc w:val="both"/>
              <w:rPr>
                <w:rFonts w:ascii="Times New Roman" w:eastAsia="標楷體" w:hAnsi="Times New Roman" w:cs="Times New Roman"/>
                <w:sz w:val="28"/>
                <w:szCs w:val="28"/>
              </w:rPr>
            </w:pPr>
            <w:r w:rsidRPr="00790FC8">
              <w:rPr>
                <w:rFonts w:ascii="Times New Roman" w:eastAsia="標楷體" w:hAnsi="Times New Roman" w:cs="Gungsuh"/>
                <w:sz w:val="28"/>
                <w:szCs w:val="28"/>
              </w:rPr>
              <w:t>【網站】不義遺址資料庫</w:t>
            </w:r>
          </w:p>
          <w:p w:rsidR="002600D4" w:rsidRPr="00790FC8" w:rsidRDefault="000A6418" w:rsidP="00790FC8">
            <w:pPr>
              <w:widowControl w:val="0"/>
              <w:numPr>
                <w:ilvl w:val="0"/>
                <w:numId w:val="1"/>
              </w:numPr>
              <w:spacing w:line="440" w:lineRule="exact"/>
              <w:jc w:val="both"/>
              <w:rPr>
                <w:rFonts w:ascii="Times New Roman" w:eastAsia="標楷體" w:hAnsi="Times New Roman" w:cs="Times New Roman"/>
                <w:sz w:val="28"/>
                <w:szCs w:val="28"/>
              </w:rPr>
            </w:pPr>
            <w:r w:rsidRPr="00790FC8">
              <w:rPr>
                <w:rFonts w:ascii="Times New Roman" w:eastAsia="標楷體" w:hAnsi="Times New Roman" w:cs="Gungsuh"/>
                <w:sz w:val="28"/>
                <w:szCs w:val="28"/>
              </w:rPr>
              <w:t>【單本書籍節錄】吳俊瑩，〈二二八事件中海軍的彙報與應處〉，《二二八事件真相與轉型正義研究報告》</w:t>
            </w:r>
          </w:p>
          <w:p w:rsidR="002600D4" w:rsidRPr="00790FC8" w:rsidRDefault="000A6418" w:rsidP="00790FC8">
            <w:pPr>
              <w:widowControl w:val="0"/>
              <w:numPr>
                <w:ilvl w:val="0"/>
                <w:numId w:val="1"/>
              </w:numPr>
              <w:spacing w:line="440" w:lineRule="exact"/>
              <w:jc w:val="both"/>
              <w:rPr>
                <w:rFonts w:ascii="Times New Roman" w:eastAsia="標楷體" w:hAnsi="Times New Roman" w:cs="Times New Roman"/>
                <w:sz w:val="28"/>
                <w:szCs w:val="28"/>
              </w:rPr>
            </w:pPr>
            <w:r w:rsidRPr="00790FC8">
              <w:rPr>
                <w:rFonts w:ascii="Times New Roman" w:eastAsia="標楷體" w:hAnsi="Times New Roman" w:cs="Gungsuh"/>
                <w:sz w:val="28"/>
                <w:szCs w:val="28"/>
              </w:rPr>
              <w:t>【單本書籍節錄】陳翠蓮，〈情治機關內部鬥爭所引起的白色恐怖政治案件〉，《戒嚴時期白色恐怖與轉型正義論文集》</w:t>
            </w:r>
          </w:p>
          <w:p w:rsidR="002600D4" w:rsidRPr="00790FC8" w:rsidRDefault="000A6418" w:rsidP="00790FC8">
            <w:pPr>
              <w:widowControl w:val="0"/>
              <w:numPr>
                <w:ilvl w:val="0"/>
                <w:numId w:val="1"/>
              </w:numPr>
              <w:spacing w:line="440" w:lineRule="exact"/>
              <w:jc w:val="both"/>
              <w:rPr>
                <w:rFonts w:ascii="Times New Roman" w:eastAsia="標楷體" w:hAnsi="Times New Roman" w:cs="Times New Roman"/>
                <w:sz w:val="28"/>
                <w:szCs w:val="28"/>
              </w:rPr>
            </w:pPr>
            <w:r w:rsidRPr="00790FC8">
              <w:rPr>
                <w:rFonts w:ascii="Times New Roman" w:eastAsia="標楷體" w:hAnsi="Times New Roman" w:cs="Gungsuh"/>
                <w:sz w:val="28"/>
                <w:szCs w:val="28"/>
              </w:rPr>
              <w:t>促進轉型正義委員會，〈保存不義遺址的內涵〉，《任務總結報告</w:t>
            </w:r>
            <w:bookmarkStart w:id="0" w:name="_GoBack"/>
            <w:bookmarkEnd w:id="0"/>
            <w:r w:rsidRPr="00790FC8">
              <w:rPr>
                <w:rFonts w:ascii="Times New Roman" w:eastAsia="標楷體" w:hAnsi="Times New Roman" w:cs="Gungsuh"/>
                <w:sz w:val="28"/>
                <w:szCs w:val="28"/>
              </w:rPr>
              <w:t>》</w:t>
            </w:r>
          </w:p>
          <w:p w:rsidR="002600D4" w:rsidRPr="00790FC8" w:rsidRDefault="000A6418" w:rsidP="00790FC8">
            <w:pPr>
              <w:widowControl w:val="0"/>
              <w:numPr>
                <w:ilvl w:val="0"/>
                <w:numId w:val="1"/>
              </w:numPr>
              <w:spacing w:line="440" w:lineRule="exact"/>
              <w:jc w:val="both"/>
              <w:rPr>
                <w:rFonts w:ascii="Times New Roman" w:eastAsia="標楷體" w:hAnsi="Times New Roman" w:cs="Times New Roman"/>
                <w:sz w:val="28"/>
                <w:szCs w:val="28"/>
              </w:rPr>
            </w:pPr>
            <w:r w:rsidRPr="00790FC8">
              <w:rPr>
                <w:rFonts w:ascii="Times New Roman" w:eastAsia="標楷體" w:hAnsi="Times New Roman" w:cs="Gungsuh"/>
                <w:sz w:val="28"/>
                <w:szCs w:val="28"/>
              </w:rPr>
              <w:lastRenderedPageBreak/>
              <w:t>促進轉型正義委員會，〈威權統治時期軍事審判相關法制的變遷〉，《任務總結報告》</w:t>
            </w:r>
          </w:p>
          <w:p w:rsidR="002600D4" w:rsidRPr="00790FC8" w:rsidRDefault="000A6418" w:rsidP="00790FC8">
            <w:pPr>
              <w:widowControl w:val="0"/>
              <w:numPr>
                <w:ilvl w:val="0"/>
                <w:numId w:val="1"/>
              </w:numPr>
              <w:spacing w:line="440" w:lineRule="exact"/>
              <w:jc w:val="both"/>
              <w:rPr>
                <w:rFonts w:ascii="Times New Roman" w:eastAsia="標楷體" w:hAnsi="Times New Roman" w:cs="Times New Roman"/>
                <w:sz w:val="28"/>
                <w:szCs w:val="28"/>
              </w:rPr>
            </w:pPr>
            <w:r w:rsidRPr="00790FC8">
              <w:rPr>
                <w:rFonts w:ascii="Times New Roman" w:eastAsia="標楷體" w:hAnsi="Times New Roman" w:cs="Gungsuh"/>
                <w:sz w:val="28"/>
                <w:szCs w:val="28"/>
              </w:rPr>
              <w:t>延伸閱讀：不義遺址資料庫小旅行－海軍白恐秘史</w:t>
            </w:r>
          </w:p>
        </w:tc>
      </w:tr>
    </w:tbl>
    <w:p w:rsidR="002600D4" w:rsidRPr="00790FC8" w:rsidRDefault="002600D4" w:rsidP="00790FC8">
      <w:pPr>
        <w:spacing w:line="440" w:lineRule="exact"/>
        <w:rPr>
          <w:rFonts w:ascii="Times New Roman" w:eastAsia="標楷體" w:hAnsi="Times New Roman" w:cs="Times New Roman"/>
          <w:sz w:val="28"/>
          <w:szCs w:val="28"/>
        </w:rPr>
      </w:pPr>
    </w:p>
    <w:p w:rsidR="002600D4" w:rsidRPr="00790FC8" w:rsidRDefault="002600D4" w:rsidP="00790FC8">
      <w:pPr>
        <w:spacing w:line="440" w:lineRule="exact"/>
        <w:rPr>
          <w:rFonts w:ascii="Times New Roman" w:eastAsia="標楷體" w:hAnsi="Times New Roman" w:cs="Times New Roman"/>
          <w:sz w:val="28"/>
          <w:szCs w:val="28"/>
        </w:rPr>
      </w:pPr>
    </w:p>
    <w:sectPr w:rsidR="002600D4" w:rsidRPr="00790FC8">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418" w:rsidRDefault="000A6418">
      <w:pPr>
        <w:spacing w:line="240" w:lineRule="auto"/>
      </w:pPr>
      <w:r>
        <w:separator/>
      </w:r>
    </w:p>
  </w:endnote>
  <w:endnote w:type="continuationSeparator" w:id="0">
    <w:p w:rsidR="000A6418" w:rsidRDefault="000A64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ungsuh">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0D4" w:rsidRPr="00790FC8" w:rsidRDefault="000A6418">
    <w:pPr>
      <w:pBdr>
        <w:top w:val="nil"/>
        <w:left w:val="nil"/>
        <w:bottom w:val="nil"/>
        <w:right w:val="nil"/>
        <w:between w:val="nil"/>
      </w:pBdr>
      <w:tabs>
        <w:tab w:val="center" w:pos="4153"/>
        <w:tab w:val="right" w:pos="8306"/>
      </w:tabs>
      <w:jc w:val="center"/>
      <w:rPr>
        <w:rFonts w:ascii="Times New Roman" w:eastAsia="標楷體" w:hAnsi="Times New Roman" w:cs="Times New Roman"/>
        <w:color w:val="000000"/>
        <w:sz w:val="24"/>
        <w:szCs w:val="24"/>
      </w:rPr>
    </w:pPr>
    <w:sdt>
      <w:sdtPr>
        <w:rPr>
          <w:rFonts w:ascii="Times New Roman" w:eastAsia="標楷體" w:hAnsi="Times New Roman" w:cs="Times New Roman"/>
        </w:rPr>
        <w:tag w:val="goog_rdk_36"/>
        <w:id w:val="-2019142552"/>
      </w:sdtPr>
      <w:sdtEndPr/>
      <w:sdtContent>
        <w:r w:rsidRPr="00790FC8">
          <w:rPr>
            <w:rFonts w:ascii="Times New Roman" w:eastAsia="標楷體" w:hAnsi="Times New Roman" w:cs="Times New Roman"/>
            <w:color w:val="000000"/>
            <w:sz w:val="24"/>
            <w:szCs w:val="24"/>
          </w:rPr>
          <w:t>第</w:t>
        </w:r>
      </w:sdtContent>
    </w:sdt>
    <w:r w:rsidRPr="00790FC8">
      <w:rPr>
        <w:rFonts w:ascii="Times New Roman" w:eastAsia="標楷體" w:hAnsi="Times New Roman" w:cs="Times New Roman"/>
        <w:color w:val="000000"/>
        <w:sz w:val="24"/>
        <w:szCs w:val="24"/>
      </w:rPr>
      <w:fldChar w:fldCharType="begin"/>
    </w:r>
    <w:r w:rsidRPr="00790FC8">
      <w:rPr>
        <w:rFonts w:ascii="Times New Roman" w:eastAsia="標楷體" w:hAnsi="Times New Roman" w:cs="Times New Roman"/>
        <w:color w:val="000000"/>
        <w:sz w:val="24"/>
        <w:szCs w:val="24"/>
      </w:rPr>
      <w:instrText>PAGE</w:instrText>
    </w:r>
    <w:r w:rsidR="00790FC8" w:rsidRPr="00790FC8">
      <w:rPr>
        <w:rFonts w:ascii="Times New Roman" w:eastAsia="標楷體" w:hAnsi="Times New Roman" w:cs="Times New Roman"/>
        <w:color w:val="000000"/>
        <w:sz w:val="24"/>
        <w:szCs w:val="24"/>
      </w:rPr>
      <w:fldChar w:fldCharType="separate"/>
    </w:r>
    <w:r w:rsidR="00FE0B1E">
      <w:rPr>
        <w:rFonts w:ascii="Times New Roman" w:eastAsia="標楷體" w:hAnsi="Times New Roman" w:cs="Times New Roman"/>
        <w:noProof/>
        <w:color w:val="000000"/>
        <w:sz w:val="24"/>
        <w:szCs w:val="24"/>
      </w:rPr>
      <w:t>2</w:t>
    </w:r>
    <w:r w:rsidRPr="00790FC8">
      <w:rPr>
        <w:rFonts w:ascii="Times New Roman" w:eastAsia="標楷體" w:hAnsi="Times New Roman" w:cs="Times New Roman"/>
        <w:color w:val="000000"/>
        <w:sz w:val="24"/>
        <w:szCs w:val="24"/>
      </w:rPr>
      <w:fldChar w:fldCharType="end"/>
    </w:r>
    <w:sdt>
      <w:sdtPr>
        <w:rPr>
          <w:rFonts w:ascii="Times New Roman" w:eastAsia="標楷體" w:hAnsi="Times New Roman" w:cs="Times New Roman"/>
        </w:rPr>
        <w:tag w:val="goog_rdk_37"/>
        <w:id w:val="2075467300"/>
      </w:sdtPr>
      <w:sdtEndPr/>
      <w:sdtContent>
        <w:r w:rsidRPr="00790FC8">
          <w:rPr>
            <w:rFonts w:ascii="Times New Roman" w:eastAsia="標楷體" w:hAnsi="Times New Roman" w:cs="Times New Roman"/>
            <w:color w:val="000000"/>
            <w:sz w:val="24"/>
            <w:szCs w:val="24"/>
          </w:rPr>
          <w:t>頁，共</w:t>
        </w:r>
        <w:r w:rsidRPr="00790FC8">
          <w:rPr>
            <w:rFonts w:ascii="Times New Roman" w:eastAsia="標楷體" w:hAnsi="Times New Roman" w:cs="Times New Roman"/>
            <w:color w:val="000000"/>
            <w:sz w:val="24"/>
            <w:szCs w:val="24"/>
          </w:rPr>
          <w:t xml:space="preserve"> </w:t>
        </w:r>
      </w:sdtContent>
    </w:sdt>
    <w:r w:rsidRPr="00790FC8">
      <w:rPr>
        <w:rFonts w:ascii="Times New Roman" w:eastAsia="標楷體" w:hAnsi="Times New Roman" w:cs="Times New Roman"/>
        <w:color w:val="000000"/>
        <w:sz w:val="24"/>
        <w:szCs w:val="24"/>
      </w:rPr>
      <w:fldChar w:fldCharType="begin"/>
    </w:r>
    <w:r w:rsidRPr="00790FC8">
      <w:rPr>
        <w:rFonts w:ascii="Times New Roman" w:eastAsia="標楷體" w:hAnsi="Times New Roman" w:cs="Times New Roman"/>
        <w:color w:val="000000"/>
        <w:sz w:val="24"/>
        <w:szCs w:val="24"/>
      </w:rPr>
      <w:instrText>NUMPAGES</w:instrText>
    </w:r>
    <w:r w:rsidR="00790FC8" w:rsidRPr="00790FC8">
      <w:rPr>
        <w:rFonts w:ascii="Times New Roman" w:eastAsia="標楷體" w:hAnsi="Times New Roman" w:cs="Times New Roman"/>
        <w:color w:val="000000"/>
        <w:sz w:val="24"/>
        <w:szCs w:val="24"/>
      </w:rPr>
      <w:fldChar w:fldCharType="separate"/>
    </w:r>
    <w:r w:rsidR="00FE0B1E">
      <w:rPr>
        <w:rFonts w:ascii="Times New Roman" w:eastAsia="標楷體" w:hAnsi="Times New Roman" w:cs="Times New Roman"/>
        <w:noProof/>
        <w:color w:val="000000"/>
        <w:sz w:val="24"/>
        <w:szCs w:val="24"/>
      </w:rPr>
      <w:t>3</w:t>
    </w:r>
    <w:r w:rsidRPr="00790FC8">
      <w:rPr>
        <w:rFonts w:ascii="Times New Roman" w:eastAsia="標楷體" w:hAnsi="Times New Roman" w:cs="Times New Roman"/>
        <w:color w:val="000000"/>
        <w:sz w:val="24"/>
        <w:szCs w:val="24"/>
      </w:rPr>
      <w:fldChar w:fldCharType="end"/>
    </w:r>
    <w:sdt>
      <w:sdtPr>
        <w:rPr>
          <w:rFonts w:ascii="Times New Roman" w:eastAsia="標楷體" w:hAnsi="Times New Roman" w:cs="Times New Roman"/>
        </w:rPr>
        <w:tag w:val="goog_rdk_38"/>
        <w:id w:val="-1872379232"/>
      </w:sdtPr>
      <w:sdtEndPr/>
      <w:sdtContent>
        <w:r w:rsidRPr="00790FC8">
          <w:rPr>
            <w:rFonts w:ascii="Times New Roman" w:eastAsia="標楷體" w:hAnsi="Times New Roman" w:cs="Times New Roman"/>
            <w:color w:val="000000"/>
            <w:sz w:val="24"/>
            <w:szCs w:val="24"/>
          </w:rPr>
          <w:t>頁</w:t>
        </w:r>
      </w:sdtContent>
    </w:sdt>
  </w:p>
  <w:p w:rsidR="002600D4" w:rsidRDefault="002600D4">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418" w:rsidRDefault="000A6418">
      <w:pPr>
        <w:spacing w:line="240" w:lineRule="auto"/>
      </w:pPr>
      <w:r>
        <w:separator/>
      </w:r>
    </w:p>
  </w:footnote>
  <w:footnote w:type="continuationSeparator" w:id="0">
    <w:p w:rsidR="000A6418" w:rsidRDefault="000A64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5343"/>
    <w:multiLevelType w:val="multilevel"/>
    <w:tmpl w:val="0BC62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B81ACB"/>
    <w:multiLevelType w:val="multilevel"/>
    <w:tmpl w:val="37C6F3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8457371"/>
    <w:multiLevelType w:val="multilevel"/>
    <w:tmpl w:val="17F45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2B454B"/>
    <w:multiLevelType w:val="multilevel"/>
    <w:tmpl w:val="3102A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0D4"/>
    <w:rsid w:val="000A6418"/>
    <w:rsid w:val="002600D4"/>
    <w:rsid w:val="00790FC8"/>
    <w:rsid w:val="00FE0B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D7C59-D6F0-48FD-9D52-8040B56F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71320B"/>
    <w:pPr>
      <w:tabs>
        <w:tab w:val="center" w:pos="4153"/>
        <w:tab w:val="right" w:pos="8306"/>
      </w:tabs>
      <w:snapToGrid w:val="0"/>
    </w:pPr>
    <w:rPr>
      <w:sz w:val="20"/>
      <w:szCs w:val="20"/>
    </w:rPr>
  </w:style>
  <w:style w:type="character" w:customStyle="1" w:styleId="a7">
    <w:name w:val="頁首 字元"/>
    <w:basedOn w:val="a0"/>
    <w:link w:val="a6"/>
    <w:uiPriority w:val="99"/>
    <w:rsid w:val="0071320B"/>
    <w:rPr>
      <w:sz w:val="20"/>
      <w:szCs w:val="20"/>
    </w:rPr>
  </w:style>
  <w:style w:type="paragraph" w:styleId="a8">
    <w:name w:val="footer"/>
    <w:basedOn w:val="a"/>
    <w:link w:val="a9"/>
    <w:uiPriority w:val="99"/>
    <w:unhideWhenUsed/>
    <w:rsid w:val="0071320B"/>
    <w:pPr>
      <w:tabs>
        <w:tab w:val="center" w:pos="4153"/>
        <w:tab w:val="right" w:pos="8306"/>
      </w:tabs>
      <w:snapToGrid w:val="0"/>
    </w:pPr>
    <w:rPr>
      <w:sz w:val="20"/>
      <w:szCs w:val="20"/>
    </w:rPr>
  </w:style>
  <w:style w:type="character" w:customStyle="1" w:styleId="a9">
    <w:name w:val="頁尾 字元"/>
    <w:basedOn w:val="a0"/>
    <w:link w:val="a8"/>
    <w:uiPriority w:val="99"/>
    <w:rsid w:val="0071320B"/>
    <w:rPr>
      <w:sz w:val="20"/>
      <w:szCs w:val="20"/>
    </w:rPr>
  </w:style>
  <w:style w:type="table" w:customStyle="1" w:styleId="a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yRAVOdvY8XWLjR+ZttaIY9LbOA==">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DIIaC5namRneHM4AGohChRzdWdnZXN0Lmk3aG84OHAyeXg1ZRIJUG9ja3kgSHN1aiEKFHN1Z2dlc3QuaGJtcDJubGx3dHdyEgnmpYrokqjlqbdyITFoT3NNdDdpWGthbUhoTDI5dzBUTlYzMnM2c3J1SVdJ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楊蒨婷</dc:creator>
  <cp:lastModifiedBy>楊蒨婷</cp:lastModifiedBy>
  <cp:revision>2</cp:revision>
  <dcterms:created xsi:type="dcterms:W3CDTF">2024-12-17T02:32:00Z</dcterms:created>
  <dcterms:modified xsi:type="dcterms:W3CDTF">2024-12-17T02:32:00Z</dcterms:modified>
</cp:coreProperties>
</file>