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357F3B" w:rsidRPr="003D0C5B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7F3B" w:rsidRPr="003D0C5B" w:rsidRDefault="00E13955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bookmarkStart w:id="0" w:name="_GoBack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運用指引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南市二二八紀念館</w:t>
            </w:r>
          </w:p>
        </w:tc>
      </w:tr>
      <w:tr w:rsidR="00EB05B2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5B2" w:rsidRPr="003D0C5B" w:rsidRDefault="00EB05B2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4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5B2" w:rsidRPr="00EB05B2" w:rsidRDefault="00EB05B2" w:rsidP="00026D30">
            <w:pPr>
              <w:spacing w:line="440" w:lineRule="exact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EB05B2">
              <w:rPr>
                <w:rFonts w:ascii="Times New Roman" w:eastAsia="標楷體" w:hAnsi="Times New Roman" w:cs="標楷體" w:hint="eastAsia"/>
                <w:sz w:val="28"/>
                <w:szCs w:val="24"/>
              </w:rPr>
              <w:t>面對過去：認識威權體制／展望未來：轉型正義政策專題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spacing w:line="440" w:lineRule="exact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1-4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社區、部落、地方史專題／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3-5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不義遺址與集體記憶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特定專業人員優先，亦適用於所有對象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參訪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主題式／研討工作坊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主題講座／講課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遺址／場館</w:t>
            </w:r>
          </w:p>
        </w:tc>
      </w:tr>
      <w:tr w:rsidR="00B62839" w:rsidRPr="003D0C5B" w:rsidTr="00CE0BF6">
        <w:trPr>
          <w:trHeight w:val="133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南市二二八紀念館原址為日本時代的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南州議會，建於昭和十年（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1935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年），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2022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年建物修復後，成立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南市二二八紀念館暨中西區圖書館。紀念館內之常設展介紹二二八事件時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南受到的影響與變動，以及戰後追求民主人權的經過。</w:t>
            </w:r>
          </w:p>
        </w:tc>
      </w:tr>
      <w:tr w:rsidR="00B62839" w:rsidRPr="003D0C5B" w:rsidTr="00CE0BF6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afterLines="50" w:after="120"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二二八事件自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1947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月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27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日緝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菸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事件起算，到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1947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5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月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16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日解除戒嚴、結束清鄉，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個多月的時間內，因衝突逮捕、無差別軍事鎮壓、清鄉造成大量民眾傷亡。且因上述國家權力行使多未經嚴謹程序、多誤傷、多傷亡者、多行為暴力，常針對不特定民眾，故被民間視為屠殺。截至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2022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12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月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15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日止，財團法人二二八事件紀念基金會審定之二二八事件受難者共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2,338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位，並持續更新中。</w:t>
            </w:r>
          </w:p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由於二二八事件歷時長，且幾乎全台各地皆有關聯，是故「認識區域性的歷史」能有效提高對二二八事件的整體認識。然而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2022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南市二二八紀念館設立之前，各縣市只有臺北市設有「台北二二八紀念館」、高雄歷史博物館則有二二八事件常設展。</w:t>
            </w:r>
          </w:p>
        </w:tc>
      </w:tr>
      <w:tr w:rsidR="00B62839" w:rsidRPr="003D0C5B" w:rsidTr="00CE0BF6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lastRenderedPageBreak/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導讀：二二八事件時，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南受到的影響、人民／政府的行動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主題探討：搭配紀念館的展覽與「二二八事件檔案資料庫」，認識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南的二二八事件受難者。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2"/>
              </w:numPr>
              <w:spacing w:line="440" w:lineRule="exact"/>
              <w:ind w:right="-190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延伸討論：為什麼第一場「二二八平反運動」的遊行於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南舉辦？對社會／政府帶來哪些後續的影響？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2"/>
              </w:numPr>
              <w:spacing w:line="440" w:lineRule="exact"/>
              <w:ind w:right="-190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延伸討論：各縣市是否需要設立地區性的二二八紀念館？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若要參訪，目前無提供導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覽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服務，或洽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臺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南市政府。</w:t>
            </w:r>
          </w:p>
        </w:tc>
      </w:tr>
      <w:tr w:rsidR="00B62839" w:rsidRPr="003D0C5B" w:rsidTr="00CE0BF6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839" w:rsidRPr="003D0C5B" w:rsidRDefault="00B62839" w:rsidP="00026D30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【網站】二二八事件檔案資料庫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【網站】二二八遺址資料庫</w:t>
            </w:r>
          </w:p>
          <w:p w:rsidR="00B62839" w:rsidRPr="003D0C5B" w:rsidRDefault="00B62839" w:rsidP="00026D30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【短片】二二八平反與轉型正義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特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展</w:t>
            </w:r>
            <w:proofErr w:type="gramStart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｜</w:t>
            </w:r>
            <w:proofErr w:type="gramEnd"/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打破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228</w:t>
            </w:r>
            <w:r w:rsidRPr="003D0C5B">
              <w:rPr>
                <w:rFonts w:ascii="Times New Roman" w:eastAsia="標楷體" w:hAnsi="Times New Roman" w:cs="標楷體"/>
                <w:sz w:val="28"/>
                <w:szCs w:val="24"/>
              </w:rPr>
              <w:t>禁忌，推動二二八公義和平運動的感想：二二八和平日促進會陳永興會長</w:t>
            </w:r>
          </w:p>
        </w:tc>
      </w:tr>
    </w:tbl>
    <w:p w:rsidR="00357F3B" w:rsidRPr="003D0C5B" w:rsidRDefault="00357F3B" w:rsidP="00026D30">
      <w:pPr>
        <w:spacing w:line="440" w:lineRule="exact"/>
        <w:rPr>
          <w:rFonts w:ascii="Times New Roman" w:eastAsia="標楷體" w:hAnsi="Times New Roman" w:cs="標楷體"/>
          <w:sz w:val="28"/>
          <w:szCs w:val="24"/>
        </w:rPr>
      </w:pPr>
    </w:p>
    <w:bookmarkEnd w:id="0"/>
    <w:p w:rsidR="00357F3B" w:rsidRPr="003D0C5B" w:rsidRDefault="00357F3B" w:rsidP="00026D30">
      <w:pPr>
        <w:spacing w:line="440" w:lineRule="exact"/>
        <w:rPr>
          <w:rFonts w:ascii="Times New Roman" w:hAnsi="Times New Roman"/>
          <w:sz w:val="24"/>
        </w:rPr>
      </w:pPr>
    </w:p>
    <w:sectPr w:rsidR="00357F3B" w:rsidRPr="003D0C5B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9E" w:rsidRDefault="00603E9E" w:rsidP="00EB0495">
      <w:pPr>
        <w:spacing w:line="240" w:lineRule="auto"/>
      </w:pPr>
      <w:r>
        <w:separator/>
      </w:r>
    </w:p>
  </w:endnote>
  <w:endnote w:type="continuationSeparator" w:id="0">
    <w:p w:rsidR="00603E9E" w:rsidRDefault="00603E9E" w:rsidP="00EB0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  <w:sz w:val="24"/>
        <w:szCs w:val="24"/>
        <w:lang w:val="zh-TW"/>
      </w:rPr>
      <w:id w:val="-176123450"/>
      <w:docPartObj>
        <w:docPartGallery w:val="Page Numbers (Bottom of Page)"/>
        <w:docPartUnique/>
      </w:docPartObj>
    </w:sdtPr>
    <w:sdtEndPr>
      <w:rPr>
        <w:bCs/>
        <w:lang w:val="en-US"/>
      </w:rPr>
    </w:sdtEndPr>
    <w:sdtContent>
      <w:p w:rsidR="0077660D" w:rsidRPr="008D6D68" w:rsidRDefault="0077660D">
        <w:pPr>
          <w:pStyle w:val="ad"/>
          <w:jc w:val="center"/>
          <w:rPr>
            <w:rFonts w:ascii="Times New Roman" w:eastAsia="標楷體" w:hAnsi="Times New Roman" w:cs="Times New Roman"/>
            <w:sz w:val="24"/>
            <w:szCs w:val="24"/>
          </w:rPr>
        </w:pPr>
        <w:r w:rsidRPr="008D6D68">
          <w:rPr>
            <w:rFonts w:ascii="Times New Roman" w:eastAsia="標楷體" w:hAnsi="Times New Roman" w:cs="Times New Roman"/>
            <w:sz w:val="24"/>
            <w:szCs w:val="24"/>
            <w:lang w:val="zh-TW"/>
          </w:rPr>
          <w:t>第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begin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instrText>PAGE</w:instrTex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separate"/>
        </w:r>
        <w:r w:rsidR="00026D30">
          <w:rPr>
            <w:rFonts w:ascii="Times New Roman" w:eastAsia="標楷體" w:hAnsi="Times New Roman" w:cs="Times New Roman"/>
            <w:bCs/>
            <w:noProof/>
            <w:sz w:val="24"/>
            <w:szCs w:val="24"/>
          </w:rPr>
          <w:t>2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end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t>頁，共</w:t>
        </w:r>
        <w:r w:rsidRPr="008D6D68">
          <w:rPr>
            <w:rFonts w:ascii="Times New Roman" w:eastAsia="標楷體" w:hAnsi="Times New Roman" w:cs="Times New Roman"/>
            <w:sz w:val="24"/>
            <w:szCs w:val="24"/>
            <w:lang w:val="zh-TW"/>
          </w:rPr>
          <w:t xml:space="preserve"> 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begin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instrText>NUMPAGES</w:instrTex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separate"/>
        </w:r>
        <w:r w:rsidR="00026D30">
          <w:rPr>
            <w:rFonts w:ascii="Times New Roman" w:eastAsia="標楷體" w:hAnsi="Times New Roman" w:cs="Times New Roman"/>
            <w:bCs/>
            <w:noProof/>
            <w:sz w:val="24"/>
            <w:szCs w:val="24"/>
          </w:rPr>
          <w:t>2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end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t>頁</w:t>
        </w:r>
      </w:p>
    </w:sdtContent>
  </w:sdt>
  <w:p w:rsidR="0077660D" w:rsidRDefault="007766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9E" w:rsidRDefault="00603E9E" w:rsidP="00EB0495">
      <w:pPr>
        <w:spacing w:line="240" w:lineRule="auto"/>
      </w:pPr>
      <w:r>
        <w:separator/>
      </w:r>
    </w:p>
  </w:footnote>
  <w:footnote w:type="continuationSeparator" w:id="0">
    <w:p w:rsidR="00603E9E" w:rsidRDefault="00603E9E" w:rsidP="00EB04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5A0F"/>
    <w:multiLevelType w:val="multilevel"/>
    <w:tmpl w:val="687E1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9B19E4"/>
    <w:multiLevelType w:val="multilevel"/>
    <w:tmpl w:val="D2DCB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6B66A3"/>
    <w:multiLevelType w:val="multilevel"/>
    <w:tmpl w:val="7A26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3B"/>
    <w:rsid w:val="00026D30"/>
    <w:rsid w:val="0008037B"/>
    <w:rsid w:val="003076B2"/>
    <w:rsid w:val="00357F3B"/>
    <w:rsid w:val="003D0C5B"/>
    <w:rsid w:val="00483268"/>
    <w:rsid w:val="00603E9E"/>
    <w:rsid w:val="0077660D"/>
    <w:rsid w:val="00B62839"/>
    <w:rsid w:val="00CE0BF6"/>
    <w:rsid w:val="00D51DA1"/>
    <w:rsid w:val="00E13955"/>
    <w:rsid w:val="00EB0495"/>
    <w:rsid w:val="00EB05B2"/>
    <w:rsid w:val="00F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4DB37-BDD3-4D0D-8EB7-2BB4C34A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註解文字 字元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B04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04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B04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B0495"/>
    <w:rPr>
      <w:sz w:val="20"/>
      <w:szCs w:val="20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B0495"/>
    <w:rPr>
      <w:b/>
      <w:bCs/>
    </w:rPr>
  </w:style>
  <w:style w:type="character" w:customStyle="1" w:styleId="af0">
    <w:name w:val="註解主旨 字元"/>
    <w:basedOn w:val="a7"/>
    <w:link w:val="af"/>
    <w:uiPriority w:val="99"/>
    <w:semiHidden/>
    <w:rsid w:val="00EB0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楊蒨婷</cp:lastModifiedBy>
  <cp:revision>13</cp:revision>
  <dcterms:created xsi:type="dcterms:W3CDTF">2024-11-29T06:38:00Z</dcterms:created>
  <dcterms:modified xsi:type="dcterms:W3CDTF">2024-11-29T08:10:00Z</dcterms:modified>
</cp:coreProperties>
</file>